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7C" w:rsidRDefault="007E777C" w:rsidP="007E77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77C" w:rsidRDefault="007E777C" w:rsidP="007E777C">
      <w:pPr>
        <w:widowControl w:val="0"/>
        <w:autoSpaceDE w:val="0"/>
        <w:autoSpaceDN w:val="0"/>
        <w:adjustRightInd w:val="0"/>
      </w:pPr>
      <w:r>
        <w:t xml:space="preserve">SOURCE:  Adopted in R90-26(A) at 18 Ill. Reg. 12411, effective August 1, 1994; amended in R90-26(B) at 18 Ill. Reg. 14370, effective September 13, 1994; amended in R96-3 at 21 Ill. Reg. 1183, effective January 14, 1997; expedited correction in R96-3 at 21 Ill. Reg. 5946, effective January 14, 1997. </w:t>
      </w:r>
      <w:r>
        <w:tab/>
      </w:r>
    </w:p>
    <w:sectPr w:rsidR="007E777C" w:rsidSect="007E7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77C"/>
    <w:rsid w:val="000D1DB7"/>
    <w:rsid w:val="005C3366"/>
    <w:rsid w:val="006B17CE"/>
    <w:rsid w:val="007E777C"/>
    <w:rsid w:val="00B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R90-26(A) at 18 Ill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R90-26(A) at 18 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