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E9" w:rsidRDefault="000B5DE9" w:rsidP="000B5DE9">
      <w:pPr>
        <w:widowControl w:val="0"/>
        <w:autoSpaceDE w:val="0"/>
        <w:autoSpaceDN w:val="0"/>
        <w:adjustRightInd w:val="0"/>
      </w:pPr>
      <w:bookmarkStart w:id="0" w:name="_GoBack"/>
      <w:bookmarkEnd w:id="0"/>
    </w:p>
    <w:p w:rsidR="000B5DE9" w:rsidRDefault="000B5DE9" w:rsidP="000B5DE9">
      <w:pPr>
        <w:widowControl w:val="0"/>
        <w:autoSpaceDE w:val="0"/>
        <w:autoSpaceDN w:val="0"/>
        <w:adjustRightInd w:val="0"/>
      </w:pPr>
      <w:r>
        <w:rPr>
          <w:b/>
          <w:bCs/>
        </w:rPr>
        <w:t>Section 815.501  Scope and Applicability</w:t>
      </w:r>
      <w:r>
        <w:t xml:space="preserve"> </w:t>
      </w:r>
    </w:p>
    <w:p w:rsidR="000B5DE9" w:rsidRDefault="000B5DE9" w:rsidP="000B5DE9">
      <w:pPr>
        <w:widowControl w:val="0"/>
        <w:autoSpaceDE w:val="0"/>
        <w:autoSpaceDN w:val="0"/>
        <w:adjustRightInd w:val="0"/>
      </w:pPr>
    </w:p>
    <w:p w:rsidR="000B5DE9" w:rsidRDefault="000B5DE9" w:rsidP="000B5DE9">
      <w:pPr>
        <w:widowControl w:val="0"/>
        <w:autoSpaceDE w:val="0"/>
        <w:autoSpaceDN w:val="0"/>
        <w:adjustRightInd w:val="0"/>
      </w:pPr>
      <w:r>
        <w:t xml:space="preserve">All facilities exempt from permits pursuant to Section 21(d) of the Act shall retain, for Agency inspection, the information required to be collected by the operator pursuant to this Subpart, at the facility for the entire postclosure care period. If there is no active office for maintenance of records at the facility during the postclosure care period, then an alternate active operation site in the state, owned or operated by the same facility operator, may be specified. The Agency must be notified of the address and telephone number of the operator at the alternative facility where the information will be retained. </w:t>
      </w:r>
    </w:p>
    <w:sectPr w:rsidR="000B5DE9" w:rsidSect="000B5D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DE9"/>
    <w:rsid w:val="000B5DE9"/>
    <w:rsid w:val="003C613A"/>
    <w:rsid w:val="0041448B"/>
    <w:rsid w:val="005C3366"/>
    <w:rsid w:val="00A9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815</vt:lpstr>
    </vt:vector>
  </TitlesOfParts>
  <Company>State of Illinois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815</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