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44" w:rsidRDefault="00BD4F44" w:rsidP="00BD4F44">
      <w:pPr>
        <w:widowControl w:val="0"/>
        <w:autoSpaceDE w:val="0"/>
        <w:autoSpaceDN w:val="0"/>
        <w:adjustRightInd w:val="0"/>
      </w:pPr>
    </w:p>
    <w:p w:rsidR="00BD4F44" w:rsidRDefault="00BD4F44" w:rsidP="00BD4F44">
      <w:pPr>
        <w:widowControl w:val="0"/>
        <w:autoSpaceDE w:val="0"/>
        <w:autoSpaceDN w:val="0"/>
        <w:adjustRightInd w:val="0"/>
      </w:pPr>
      <w:r>
        <w:rPr>
          <w:b/>
          <w:bCs/>
        </w:rPr>
        <w:t xml:space="preserve">Section 811.320 </w:t>
      </w:r>
      <w:r w:rsidR="001D45EE">
        <w:rPr>
          <w:b/>
          <w:bCs/>
        </w:rPr>
        <w:t xml:space="preserve"> </w:t>
      </w:r>
      <w:r>
        <w:rPr>
          <w:b/>
          <w:bCs/>
        </w:rPr>
        <w:t xml:space="preserve"> Groundwater Quality Standards</w:t>
      </w:r>
      <w:r>
        <w:t xml:space="preserve"> </w:t>
      </w:r>
    </w:p>
    <w:p w:rsidR="00BD4F44" w:rsidRDefault="00BD4F44" w:rsidP="00BD4F44">
      <w:pPr>
        <w:widowControl w:val="0"/>
        <w:autoSpaceDE w:val="0"/>
        <w:autoSpaceDN w:val="0"/>
        <w:adjustRightInd w:val="0"/>
      </w:pPr>
    </w:p>
    <w:p w:rsidR="00BD4F44" w:rsidRDefault="00BD4F44" w:rsidP="00BD4F44">
      <w:pPr>
        <w:widowControl w:val="0"/>
        <w:autoSpaceDE w:val="0"/>
        <w:autoSpaceDN w:val="0"/>
        <w:adjustRightInd w:val="0"/>
        <w:ind w:left="1440" w:hanging="720"/>
      </w:pPr>
      <w:r>
        <w:t>a)</w:t>
      </w:r>
      <w:r>
        <w:tab/>
        <w:t xml:space="preserve">Applicable Groundwater Quality Standards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1)</w:t>
      </w:r>
      <w:r>
        <w:tab/>
        <w:t xml:space="preserve">Groundwater quality </w:t>
      </w:r>
      <w:r w:rsidR="00D23EC3">
        <w:t>must</w:t>
      </w:r>
      <w:r>
        <w:t xml:space="preserve"> be maintained at each constituent's background concentration, at or beyond the zone of attenuation.  The applicable groundwater quality standard established for any constituent </w:t>
      </w:r>
      <w:r w:rsidR="00D23EC3">
        <w:t>must</w:t>
      </w:r>
      <w:r>
        <w:t xml:space="preserve"> be: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The background concentration; or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The Board established standard adjusted by the Board in accordance with the justification procedure of subsection (b).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2)</w:t>
      </w:r>
      <w:r>
        <w:tab/>
        <w:t xml:space="preserve">Any statistically significant increase above an applicable groundwater quality standard established </w:t>
      </w:r>
      <w:r w:rsidR="003C72E9">
        <w:t>under</w:t>
      </w:r>
      <w:r>
        <w:t xml:space="preserve"> subsection (a)</w:t>
      </w:r>
      <w:r w:rsidR="00511757">
        <w:t>(1)</w:t>
      </w:r>
      <w:r>
        <w:t xml:space="preserve"> that is attributable to the facility and </w:t>
      </w:r>
      <w:r w:rsidR="003C72E9">
        <w:t>that</w:t>
      </w:r>
      <w:r>
        <w:t xml:space="preserve"> occurs at or beyond the zone of attenuation within 100 years after closure of the last unit accepting waste within such a facility </w:t>
      </w:r>
      <w:r w:rsidR="00D23EC3">
        <w:t>must</w:t>
      </w:r>
      <w:r>
        <w:t xml:space="preserve"> constitute a violation.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3)</w:t>
      </w:r>
      <w:r>
        <w:tab/>
        <w:t xml:space="preserve">For the purposes of this Part: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"Background concentration" means that concentration of a constituent that is established as the background in accordance with subsection (d); and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"Board established standard" is the concentration of a constituent adopted by the Board as a groundwater quality standard adopted by the Board </w:t>
      </w:r>
      <w:r w:rsidR="003C72E9">
        <w:t>under</w:t>
      </w:r>
      <w:r>
        <w:t xml:space="preserve"> Section 14.4 of the Act or Section 8 of the Illinois Groundwater Protection Act</w:t>
      </w:r>
      <w:r w:rsidR="00751DC8">
        <w:t xml:space="preserve"> [415 ILCS 55]</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1440" w:hanging="720"/>
      </w:pPr>
      <w:r>
        <w:t>b)</w:t>
      </w:r>
      <w:r>
        <w:tab/>
        <w:t xml:space="preserve">Justification for Adjusted Groundwater Quality Standards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1)</w:t>
      </w:r>
      <w:r>
        <w:tab/>
        <w:t xml:space="preserve">An operator may petition the Board for an adjusted groundwater quality standard in accordance with the procedures specified in Section 28.1 of the Act and 35 Ill. Adm. Code </w:t>
      </w:r>
      <w:r w:rsidR="00635880">
        <w:t>104</w:t>
      </w:r>
      <w:r w:rsidR="00EA5D69">
        <w:t>.</w:t>
      </w:r>
      <w:r w:rsidR="00635880">
        <w:t>Subpart D</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2)</w:t>
      </w:r>
      <w:r>
        <w:tab/>
        <w:t xml:space="preserve">For groundwater </w:t>
      </w:r>
      <w:r w:rsidR="003C72E9">
        <w:t>that</w:t>
      </w:r>
      <w:r>
        <w:t xml:space="preserve"> contains naturally occurring constituents </w:t>
      </w:r>
      <w:r w:rsidR="003C72E9">
        <w:t>that</w:t>
      </w:r>
      <w:r>
        <w:t xml:space="preserve"> meet the </w:t>
      </w:r>
      <w:r w:rsidR="00635880">
        <w:t xml:space="preserve">applicable </w:t>
      </w:r>
      <w:r>
        <w:t xml:space="preserve">requirements of 35 Ill. Adm. Code </w:t>
      </w:r>
      <w:r w:rsidR="00635880">
        <w:t>620.410, 620.420, 620.430, or 620.440</w:t>
      </w:r>
      <w:r>
        <w:t xml:space="preserve"> the Board will specify adjusted groundwater quality standards no greater than those of 35 Ill. Adm. Code </w:t>
      </w:r>
      <w:r w:rsidR="00635880">
        <w:t>620.410, 620.420, 620.430 or 620.440, respectively,</w:t>
      </w:r>
      <w:r>
        <w:t xml:space="preserve"> upon a demonstration by the operator that: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The change in standards will not interfere with, or become injurious to, any present or potential beneficial uses for </w:t>
      </w:r>
      <w:r w:rsidR="00BC09CD">
        <w:t>the</w:t>
      </w:r>
      <w:r>
        <w:t xml:space="preserve"> water;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w:t>
      </w:r>
      <w:r w:rsidR="00D66471">
        <w:t>; and</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C)</w:t>
      </w:r>
      <w:r>
        <w:tab/>
        <w:t xml:space="preserve">All technically feasible and economically reasonable methods are being used to prevent the degradation of the groundwater quality.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3)</w:t>
      </w:r>
      <w:r>
        <w:tab/>
        <w:t xml:space="preserve">Notwithstanding subsection (b)(2), in no case </w:t>
      </w:r>
      <w:r w:rsidR="00D23EC3">
        <w:t>must</w:t>
      </w:r>
      <w:r>
        <w:t xml:space="preserve"> the Board specify adjusted groundwater quality standards for a MSWLF unit greater than the </w:t>
      </w:r>
      <w:r w:rsidR="00D66471">
        <w:t xml:space="preserve">following </w:t>
      </w:r>
      <w:r>
        <w:t xml:space="preserve">levels: </w:t>
      </w:r>
    </w:p>
    <w:p w:rsidR="00BD4F44" w:rsidRDefault="00BD4F44" w:rsidP="00D753F9">
      <w:pPr>
        <w:widowControl w:val="0"/>
        <w:autoSpaceDE w:val="0"/>
        <w:autoSpaceDN w:val="0"/>
        <w:adjustRightInd w:val="0"/>
      </w:pPr>
    </w:p>
    <w:tbl>
      <w:tblPr>
        <w:tblW w:w="6984" w:type="dxa"/>
        <w:tblInd w:w="2304" w:type="dxa"/>
        <w:tblLayout w:type="fixed"/>
        <w:tblLook w:val="0000" w:firstRow="0" w:lastRow="0" w:firstColumn="0" w:lastColumn="0" w:noHBand="0" w:noVBand="0"/>
      </w:tblPr>
      <w:tblGrid>
        <w:gridCol w:w="5544"/>
        <w:gridCol w:w="1440"/>
      </w:tblGrid>
      <w:tr w:rsidR="001D45EE" w:rsidTr="00EE01FB">
        <w:tc>
          <w:tcPr>
            <w:tcW w:w="5544" w:type="dxa"/>
          </w:tcPr>
          <w:p w:rsidR="001D45EE" w:rsidRPr="00D66471" w:rsidRDefault="001D45EE" w:rsidP="00BD4F44">
            <w:pPr>
              <w:widowControl w:val="0"/>
              <w:autoSpaceDE w:val="0"/>
              <w:autoSpaceDN w:val="0"/>
              <w:adjustRightInd w:val="0"/>
              <w:rPr>
                <w:u w:val="single"/>
              </w:rPr>
            </w:pPr>
            <w:r w:rsidRPr="00D66471">
              <w:rPr>
                <w:u w:val="single"/>
              </w:rPr>
              <w:t>Chemical</w:t>
            </w:r>
          </w:p>
        </w:tc>
        <w:tc>
          <w:tcPr>
            <w:tcW w:w="1440" w:type="dxa"/>
          </w:tcPr>
          <w:p w:rsidR="00EE01FB" w:rsidRDefault="00EE01FB" w:rsidP="00EE01FB">
            <w:pPr>
              <w:widowControl w:val="0"/>
              <w:autoSpaceDE w:val="0"/>
              <w:autoSpaceDN w:val="0"/>
              <w:adjustRightInd w:val="0"/>
              <w:ind w:left="-108" w:right="-108"/>
              <w:jc w:val="center"/>
              <w:rPr>
                <w:u w:val="single"/>
              </w:rPr>
            </w:pPr>
            <w:r>
              <w:rPr>
                <w:u w:val="single"/>
              </w:rPr>
              <w:t>Concentration</w:t>
            </w:r>
          </w:p>
          <w:p w:rsidR="001D45EE" w:rsidRPr="00D66471" w:rsidRDefault="001D45EE" w:rsidP="00EE01FB">
            <w:pPr>
              <w:widowControl w:val="0"/>
              <w:autoSpaceDE w:val="0"/>
              <w:autoSpaceDN w:val="0"/>
              <w:adjustRightInd w:val="0"/>
              <w:ind w:left="-108" w:right="-108"/>
              <w:jc w:val="center"/>
              <w:rPr>
                <w:u w:val="single"/>
              </w:rPr>
            </w:pPr>
            <w:r w:rsidRPr="00D66471">
              <w:rPr>
                <w:u w:val="single"/>
              </w:rPr>
              <w:t>(mg/</w:t>
            </w:r>
            <w:r w:rsidR="00D23EC3">
              <w:rPr>
                <w:u w:val="single"/>
              </w:rPr>
              <w:t>ℓ</w:t>
            </w:r>
            <w:r w:rsidRPr="00D66471">
              <w:rPr>
                <w:u w:val="single"/>
              </w:rPr>
              <w:t>)</w:t>
            </w:r>
          </w:p>
        </w:tc>
      </w:tr>
      <w:tr w:rsidR="001D45EE" w:rsidTr="00EE01FB">
        <w:tc>
          <w:tcPr>
            <w:tcW w:w="5544" w:type="dxa"/>
          </w:tcPr>
          <w:p w:rsidR="001D45EE" w:rsidRDefault="001D45EE" w:rsidP="00EE01FB">
            <w:pPr>
              <w:widowControl w:val="0"/>
              <w:autoSpaceDE w:val="0"/>
              <w:autoSpaceDN w:val="0"/>
              <w:adjustRightInd w:val="0"/>
              <w:ind w:left="162" w:hanging="162"/>
            </w:pPr>
            <w:r>
              <w:t>Arsenic</w:t>
            </w:r>
            <w:r w:rsidR="006A111E" w:rsidRPr="0003084C">
              <w:t xml:space="preserve"> (CAS No. 7440-38-2)</w:t>
            </w:r>
          </w:p>
        </w:tc>
        <w:tc>
          <w:tcPr>
            <w:tcW w:w="1440" w:type="dxa"/>
          </w:tcPr>
          <w:p w:rsidR="001D45EE" w:rsidRDefault="001D45EE" w:rsidP="00EE01FB">
            <w:pPr>
              <w:widowControl w:val="0"/>
              <w:autoSpaceDE w:val="0"/>
              <w:autoSpaceDN w:val="0"/>
              <w:adjustRightInd w:val="0"/>
              <w:ind w:left="405" w:right="-108"/>
            </w:pPr>
            <w:r>
              <w:t>0.05</w:t>
            </w:r>
          </w:p>
        </w:tc>
      </w:tr>
      <w:tr w:rsidR="001D45EE" w:rsidTr="00EE01FB">
        <w:tc>
          <w:tcPr>
            <w:tcW w:w="5544" w:type="dxa"/>
          </w:tcPr>
          <w:p w:rsidR="001D45EE" w:rsidRDefault="001D45EE" w:rsidP="00EE01FB">
            <w:pPr>
              <w:widowControl w:val="0"/>
              <w:autoSpaceDE w:val="0"/>
              <w:autoSpaceDN w:val="0"/>
              <w:adjustRightInd w:val="0"/>
              <w:ind w:left="162" w:hanging="162"/>
            </w:pPr>
            <w:r>
              <w:t>Barium</w:t>
            </w:r>
            <w:r w:rsidR="006A111E" w:rsidRPr="0003084C">
              <w:t xml:space="preserve"> (CAS No. 7440-39-3)</w:t>
            </w:r>
          </w:p>
        </w:tc>
        <w:tc>
          <w:tcPr>
            <w:tcW w:w="1440" w:type="dxa"/>
          </w:tcPr>
          <w:p w:rsidR="001D45EE" w:rsidRDefault="001D45EE" w:rsidP="00EE01FB">
            <w:pPr>
              <w:widowControl w:val="0"/>
              <w:autoSpaceDE w:val="0"/>
              <w:autoSpaceDN w:val="0"/>
              <w:adjustRightInd w:val="0"/>
              <w:ind w:left="405" w:right="-108"/>
            </w:pPr>
            <w:r>
              <w:t>1.0</w:t>
            </w:r>
          </w:p>
        </w:tc>
      </w:tr>
      <w:tr w:rsidR="001D45EE" w:rsidTr="00EE01FB">
        <w:tc>
          <w:tcPr>
            <w:tcW w:w="5544" w:type="dxa"/>
          </w:tcPr>
          <w:p w:rsidR="001D45EE" w:rsidRDefault="001D45EE" w:rsidP="00EE01FB">
            <w:pPr>
              <w:widowControl w:val="0"/>
              <w:autoSpaceDE w:val="0"/>
              <w:autoSpaceDN w:val="0"/>
              <w:adjustRightInd w:val="0"/>
              <w:ind w:left="162" w:hanging="162"/>
            </w:pPr>
            <w:r>
              <w:t>Benzene</w:t>
            </w:r>
            <w:r w:rsidR="006A111E" w:rsidRPr="0003084C">
              <w:t xml:space="preserve"> (CAS No. 71-43-2)</w:t>
            </w:r>
          </w:p>
        </w:tc>
        <w:tc>
          <w:tcPr>
            <w:tcW w:w="1440" w:type="dxa"/>
          </w:tcPr>
          <w:p w:rsidR="001D45EE" w:rsidRDefault="001D45EE" w:rsidP="00EE01FB">
            <w:pPr>
              <w:widowControl w:val="0"/>
              <w:autoSpaceDE w:val="0"/>
              <w:autoSpaceDN w:val="0"/>
              <w:adjustRightInd w:val="0"/>
              <w:ind w:left="405" w:right="-108"/>
            </w:pPr>
            <w:r>
              <w:t>0.005</w:t>
            </w:r>
          </w:p>
        </w:tc>
      </w:tr>
      <w:tr w:rsidR="001D45EE" w:rsidTr="00EE01FB">
        <w:tc>
          <w:tcPr>
            <w:tcW w:w="5544" w:type="dxa"/>
          </w:tcPr>
          <w:p w:rsidR="001D45EE" w:rsidRDefault="001D45EE" w:rsidP="00EE01FB">
            <w:pPr>
              <w:widowControl w:val="0"/>
              <w:autoSpaceDE w:val="0"/>
              <w:autoSpaceDN w:val="0"/>
              <w:adjustRightInd w:val="0"/>
              <w:ind w:left="162" w:right="-99" w:hanging="162"/>
            </w:pPr>
            <w:r>
              <w:t>Cadmium</w:t>
            </w:r>
            <w:r w:rsidR="006A111E" w:rsidRPr="0003084C">
              <w:t xml:space="preserve"> (CAS No. 7440-43-9)</w:t>
            </w:r>
          </w:p>
        </w:tc>
        <w:tc>
          <w:tcPr>
            <w:tcW w:w="1440" w:type="dxa"/>
          </w:tcPr>
          <w:p w:rsidR="001D45EE" w:rsidRDefault="001D45EE" w:rsidP="00EE01FB">
            <w:pPr>
              <w:widowControl w:val="0"/>
              <w:autoSpaceDE w:val="0"/>
              <w:autoSpaceDN w:val="0"/>
              <w:adjustRightInd w:val="0"/>
              <w:ind w:left="405" w:right="-108"/>
            </w:pPr>
            <w:r>
              <w:t>0.01</w:t>
            </w:r>
          </w:p>
        </w:tc>
      </w:tr>
      <w:tr w:rsidR="001D45EE" w:rsidTr="00EE01FB">
        <w:tc>
          <w:tcPr>
            <w:tcW w:w="5544" w:type="dxa"/>
          </w:tcPr>
          <w:p w:rsidR="001D45EE" w:rsidRDefault="001D45EE" w:rsidP="00EE01FB">
            <w:pPr>
              <w:widowControl w:val="0"/>
              <w:autoSpaceDE w:val="0"/>
              <w:autoSpaceDN w:val="0"/>
              <w:adjustRightInd w:val="0"/>
              <w:ind w:left="162" w:hanging="162"/>
            </w:pPr>
            <w:r>
              <w:t>Carbon tetrachloride</w:t>
            </w:r>
            <w:r w:rsidR="006A111E" w:rsidRPr="0003084C">
              <w:t xml:space="preserve"> (CAS No. 56-23-5)</w:t>
            </w:r>
          </w:p>
        </w:tc>
        <w:tc>
          <w:tcPr>
            <w:tcW w:w="1440" w:type="dxa"/>
          </w:tcPr>
          <w:p w:rsidR="001D45EE" w:rsidRDefault="001D45EE" w:rsidP="00EE01FB">
            <w:pPr>
              <w:widowControl w:val="0"/>
              <w:autoSpaceDE w:val="0"/>
              <w:autoSpaceDN w:val="0"/>
              <w:adjustRightInd w:val="0"/>
              <w:ind w:left="405" w:right="-108"/>
            </w:pPr>
            <w:r>
              <w:t>0.005</w:t>
            </w:r>
          </w:p>
        </w:tc>
      </w:tr>
      <w:tr w:rsidR="008A76CE" w:rsidTr="00EE01FB">
        <w:tc>
          <w:tcPr>
            <w:tcW w:w="5544" w:type="dxa"/>
          </w:tcPr>
          <w:p w:rsidR="008A76CE" w:rsidRDefault="008A76CE" w:rsidP="00EE01FB">
            <w:pPr>
              <w:widowControl w:val="0"/>
              <w:autoSpaceDE w:val="0"/>
              <w:autoSpaceDN w:val="0"/>
              <w:adjustRightInd w:val="0"/>
              <w:ind w:left="162" w:hanging="162"/>
            </w:pPr>
            <w:r>
              <w:t>Chromium (hexavalent)</w:t>
            </w:r>
            <w:r w:rsidR="006A111E" w:rsidRPr="0003084C">
              <w:t xml:space="preserve"> (CAS No. 18540-29-9)</w:t>
            </w:r>
          </w:p>
        </w:tc>
        <w:tc>
          <w:tcPr>
            <w:tcW w:w="1440" w:type="dxa"/>
          </w:tcPr>
          <w:p w:rsidR="008A76CE" w:rsidRDefault="008A76CE" w:rsidP="00EE01FB">
            <w:pPr>
              <w:widowControl w:val="0"/>
              <w:autoSpaceDE w:val="0"/>
              <w:autoSpaceDN w:val="0"/>
              <w:adjustRightInd w:val="0"/>
              <w:ind w:left="405" w:right="-108"/>
            </w:pPr>
            <w:r>
              <w:t>0.05</w:t>
            </w:r>
          </w:p>
        </w:tc>
      </w:tr>
      <w:tr w:rsidR="008A76CE" w:rsidTr="00EE01FB">
        <w:tc>
          <w:tcPr>
            <w:tcW w:w="5544" w:type="dxa"/>
          </w:tcPr>
          <w:p w:rsidR="008A76CE" w:rsidRDefault="008A76CE" w:rsidP="00EE01FB">
            <w:pPr>
              <w:widowControl w:val="0"/>
              <w:autoSpaceDE w:val="0"/>
              <w:autoSpaceDN w:val="0"/>
              <w:adjustRightInd w:val="0"/>
              <w:ind w:left="162" w:hanging="162"/>
            </w:pPr>
            <w:r>
              <w:t>1,4-Dichlorobenzene</w:t>
            </w:r>
            <w:r w:rsidR="006A111E" w:rsidRPr="0003084C">
              <w:t xml:space="preserve"> (CAS No. 106-46-7)</w:t>
            </w:r>
          </w:p>
        </w:tc>
        <w:tc>
          <w:tcPr>
            <w:tcW w:w="1440" w:type="dxa"/>
          </w:tcPr>
          <w:p w:rsidR="008A76CE" w:rsidRDefault="008A76CE" w:rsidP="00EE01FB">
            <w:pPr>
              <w:widowControl w:val="0"/>
              <w:autoSpaceDE w:val="0"/>
              <w:autoSpaceDN w:val="0"/>
              <w:adjustRightInd w:val="0"/>
              <w:ind w:left="405" w:right="-108"/>
            </w:pPr>
            <w:r>
              <w:t>0.075</w:t>
            </w:r>
          </w:p>
        </w:tc>
      </w:tr>
      <w:tr w:rsidR="008A76CE" w:rsidTr="00EE01FB">
        <w:tc>
          <w:tcPr>
            <w:tcW w:w="5544" w:type="dxa"/>
          </w:tcPr>
          <w:p w:rsidR="008A76CE" w:rsidRDefault="008A76CE" w:rsidP="00EE01FB">
            <w:pPr>
              <w:widowControl w:val="0"/>
              <w:autoSpaceDE w:val="0"/>
              <w:autoSpaceDN w:val="0"/>
              <w:adjustRightInd w:val="0"/>
              <w:ind w:left="162" w:hanging="162"/>
            </w:pPr>
            <w:r>
              <w:t>1,2-Dichloroethane</w:t>
            </w:r>
            <w:r w:rsidR="006A111E" w:rsidRPr="0003084C">
              <w:t xml:space="preserve"> (CAS No. 107-06-2)</w:t>
            </w:r>
          </w:p>
        </w:tc>
        <w:tc>
          <w:tcPr>
            <w:tcW w:w="1440" w:type="dxa"/>
          </w:tcPr>
          <w:p w:rsidR="008A76CE" w:rsidRDefault="008A76CE" w:rsidP="00EE01FB">
            <w:pPr>
              <w:widowControl w:val="0"/>
              <w:autoSpaceDE w:val="0"/>
              <w:autoSpaceDN w:val="0"/>
              <w:adjustRightInd w:val="0"/>
              <w:ind w:left="405" w:right="-108"/>
            </w:pPr>
            <w:r>
              <w:t>0.005</w:t>
            </w:r>
          </w:p>
        </w:tc>
      </w:tr>
      <w:tr w:rsidR="008A76CE" w:rsidTr="00EE01FB">
        <w:tc>
          <w:tcPr>
            <w:tcW w:w="5544" w:type="dxa"/>
          </w:tcPr>
          <w:p w:rsidR="008A76CE" w:rsidRDefault="008A76CE" w:rsidP="00EE01FB">
            <w:pPr>
              <w:widowControl w:val="0"/>
              <w:autoSpaceDE w:val="0"/>
              <w:autoSpaceDN w:val="0"/>
              <w:adjustRightInd w:val="0"/>
              <w:ind w:left="162" w:hanging="162"/>
            </w:pPr>
            <w:r>
              <w:t>1,1-Dichloroethylene</w:t>
            </w:r>
            <w:r w:rsidR="006A111E" w:rsidRPr="0003084C">
              <w:t xml:space="preserve"> (CAS No. 75-35-4)</w:t>
            </w:r>
          </w:p>
        </w:tc>
        <w:tc>
          <w:tcPr>
            <w:tcW w:w="1440" w:type="dxa"/>
          </w:tcPr>
          <w:p w:rsidR="008A76CE" w:rsidRDefault="008A76CE" w:rsidP="00EE01FB">
            <w:pPr>
              <w:widowControl w:val="0"/>
              <w:autoSpaceDE w:val="0"/>
              <w:autoSpaceDN w:val="0"/>
              <w:adjustRightInd w:val="0"/>
              <w:ind w:left="405" w:right="-108"/>
            </w:pPr>
            <w:r>
              <w:t>0.007</w:t>
            </w:r>
          </w:p>
        </w:tc>
      </w:tr>
      <w:tr w:rsidR="006A111E" w:rsidTr="00EE01FB">
        <w:tc>
          <w:tcPr>
            <w:tcW w:w="5544" w:type="dxa"/>
          </w:tcPr>
          <w:p w:rsidR="006A111E" w:rsidRDefault="006A111E" w:rsidP="00EE01FB">
            <w:pPr>
              <w:widowControl w:val="0"/>
              <w:autoSpaceDE w:val="0"/>
              <w:autoSpaceDN w:val="0"/>
              <w:adjustRightInd w:val="0"/>
              <w:ind w:left="162" w:hanging="162"/>
            </w:pPr>
            <w:r w:rsidRPr="0003084C">
              <w:t>2,4-Dichlorophenoxy acetic acid (CAS No. 94-75-7)</w:t>
            </w:r>
          </w:p>
        </w:tc>
        <w:tc>
          <w:tcPr>
            <w:tcW w:w="1440" w:type="dxa"/>
          </w:tcPr>
          <w:p w:rsidR="006A111E" w:rsidRDefault="006A111E" w:rsidP="00EE01FB">
            <w:pPr>
              <w:widowControl w:val="0"/>
              <w:autoSpaceDE w:val="0"/>
              <w:autoSpaceDN w:val="0"/>
              <w:adjustRightInd w:val="0"/>
              <w:ind w:left="405" w:right="-108"/>
            </w:pPr>
            <w:r w:rsidRPr="0003084C">
              <w:t>0.1</w:t>
            </w:r>
          </w:p>
        </w:tc>
      </w:tr>
      <w:tr w:rsidR="008A76CE" w:rsidTr="00EE01FB">
        <w:tc>
          <w:tcPr>
            <w:tcW w:w="5544" w:type="dxa"/>
          </w:tcPr>
          <w:p w:rsidR="008A76CE" w:rsidRDefault="008A76CE" w:rsidP="00EE01FB">
            <w:pPr>
              <w:widowControl w:val="0"/>
              <w:autoSpaceDE w:val="0"/>
              <w:autoSpaceDN w:val="0"/>
              <w:adjustRightInd w:val="0"/>
              <w:ind w:left="162" w:hanging="162"/>
            </w:pPr>
            <w:r>
              <w:t>Endrin</w:t>
            </w:r>
            <w:r w:rsidR="006A111E" w:rsidRPr="0003084C">
              <w:t xml:space="preserve"> (CAS No. 72-20-8)</w:t>
            </w:r>
          </w:p>
        </w:tc>
        <w:tc>
          <w:tcPr>
            <w:tcW w:w="1440" w:type="dxa"/>
          </w:tcPr>
          <w:p w:rsidR="008A76CE" w:rsidRDefault="008A76CE" w:rsidP="00EE01FB">
            <w:pPr>
              <w:widowControl w:val="0"/>
              <w:autoSpaceDE w:val="0"/>
              <w:autoSpaceDN w:val="0"/>
              <w:adjustRightInd w:val="0"/>
              <w:ind w:left="405" w:right="-108"/>
            </w:pPr>
            <w:r>
              <w:t>0.0002</w:t>
            </w:r>
          </w:p>
        </w:tc>
      </w:tr>
      <w:tr w:rsidR="008A76CE" w:rsidTr="00EE01FB">
        <w:tc>
          <w:tcPr>
            <w:tcW w:w="5544" w:type="dxa"/>
          </w:tcPr>
          <w:p w:rsidR="008A76CE" w:rsidRDefault="008A76CE" w:rsidP="00EE01FB">
            <w:pPr>
              <w:widowControl w:val="0"/>
              <w:tabs>
                <w:tab w:val="left" w:pos="1348"/>
              </w:tabs>
              <w:autoSpaceDE w:val="0"/>
              <w:autoSpaceDN w:val="0"/>
              <w:adjustRightInd w:val="0"/>
              <w:ind w:left="162" w:hanging="162"/>
            </w:pPr>
            <w:r>
              <w:t>Fluoride</w:t>
            </w:r>
            <w:r w:rsidR="006A111E" w:rsidRPr="0003084C">
              <w:t xml:space="preserve"> (CAS No. 16984-48-8)</w:t>
            </w:r>
          </w:p>
        </w:tc>
        <w:tc>
          <w:tcPr>
            <w:tcW w:w="1440" w:type="dxa"/>
          </w:tcPr>
          <w:p w:rsidR="008A76CE" w:rsidRDefault="008A76CE" w:rsidP="00EE01FB">
            <w:pPr>
              <w:widowControl w:val="0"/>
              <w:autoSpaceDE w:val="0"/>
              <w:autoSpaceDN w:val="0"/>
              <w:adjustRightInd w:val="0"/>
              <w:ind w:left="405" w:right="-108"/>
            </w:pPr>
            <w:r>
              <w:t>4</w:t>
            </w:r>
          </w:p>
        </w:tc>
      </w:tr>
      <w:tr w:rsidR="008A76CE" w:rsidTr="00EE01FB">
        <w:tc>
          <w:tcPr>
            <w:tcW w:w="5544" w:type="dxa"/>
          </w:tcPr>
          <w:p w:rsidR="008A76CE" w:rsidRDefault="008A76CE" w:rsidP="00EE01FB">
            <w:pPr>
              <w:widowControl w:val="0"/>
              <w:autoSpaceDE w:val="0"/>
              <w:autoSpaceDN w:val="0"/>
              <w:adjustRightInd w:val="0"/>
              <w:ind w:left="162" w:hanging="162"/>
            </w:pPr>
            <w:r>
              <w:t>Lindane</w:t>
            </w:r>
            <w:r w:rsidR="006A111E" w:rsidRPr="0003084C">
              <w:t xml:space="preserve"> (CAS No. 58-89-9)</w:t>
            </w:r>
          </w:p>
        </w:tc>
        <w:tc>
          <w:tcPr>
            <w:tcW w:w="1440" w:type="dxa"/>
          </w:tcPr>
          <w:p w:rsidR="008A76CE" w:rsidRDefault="008A76CE" w:rsidP="00EE01FB">
            <w:pPr>
              <w:widowControl w:val="0"/>
              <w:autoSpaceDE w:val="0"/>
              <w:autoSpaceDN w:val="0"/>
              <w:adjustRightInd w:val="0"/>
              <w:ind w:left="405" w:right="-108"/>
            </w:pPr>
            <w:r>
              <w:t>0.004</w:t>
            </w:r>
          </w:p>
        </w:tc>
      </w:tr>
      <w:tr w:rsidR="008A76CE" w:rsidTr="00EE01FB">
        <w:tc>
          <w:tcPr>
            <w:tcW w:w="5544" w:type="dxa"/>
          </w:tcPr>
          <w:p w:rsidR="008A76CE" w:rsidRDefault="008A76CE" w:rsidP="00EE01FB">
            <w:pPr>
              <w:widowControl w:val="0"/>
              <w:autoSpaceDE w:val="0"/>
              <w:autoSpaceDN w:val="0"/>
              <w:adjustRightInd w:val="0"/>
              <w:ind w:left="162" w:hanging="162"/>
            </w:pPr>
            <w:r>
              <w:t>Lead</w:t>
            </w:r>
            <w:r w:rsidR="006A111E" w:rsidRPr="0003084C">
              <w:t xml:space="preserve"> (CAS No. 7439-92-1)</w:t>
            </w:r>
          </w:p>
        </w:tc>
        <w:tc>
          <w:tcPr>
            <w:tcW w:w="1440" w:type="dxa"/>
          </w:tcPr>
          <w:p w:rsidR="008A76CE" w:rsidRDefault="008A76CE" w:rsidP="00EE01FB">
            <w:pPr>
              <w:widowControl w:val="0"/>
              <w:autoSpaceDE w:val="0"/>
              <w:autoSpaceDN w:val="0"/>
              <w:adjustRightInd w:val="0"/>
              <w:ind w:left="405" w:right="-108"/>
            </w:pPr>
            <w:r>
              <w:t>0.05</w:t>
            </w:r>
          </w:p>
        </w:tc>
      </w:tr>
      <w:tr w:rsidR="008A76CE" w:rsidTr="00EE01FB">
        <w:tc>
          <w:tcPr>
            <w:tcW w:w="5544" w:type="dxa"/>
          </w:tcPr>
          <w:p w:rsidR="008A76CE" w:rsidRDefault="008A76CE" w:rsidP="00EE01FB">
            <w:pPr>
              <w:widowControl w:val="0"/>
              <w:autoSpaceDE w:val="0"/>
              <w:autoSpaceDN w:val="0"/>
              <w:adjustRightInd w:val="0"/>
              <w:ind w:left="162" w:hanging="162"/>
            </w:pPr>
            <w:r>
              <w:t>Mercury</w:t>
            </w:r>
            <w:r w:rsidR="006A111E" w:rsidRPr="0003084C">
              <w:t xml:space="preserve"> (CAS No. 7439-97-6)</w:t>
            </w:r>
          </w:p>
        </w:tc>
        <w:tc>
          <w:tcPr>
            <w:tcW w:w="1440" w:type="dxa"/>
          </w:tcPr>
          <w:p w:rsidR="008A76CE" w:rsidRDefault="008A76CE" w:rsidP="00EE01FB">
            <w:pPr>
              <w:widowControl w:val="0"/>
              <w:autoSpaceDE w:val="0"/>
              <w:autoSpaceDN w:val="0"/>
              <w:adjustRightInd w:val="0"/>
              <w:ind w:left="405" w:right="-108"/>
            </w:pPr>
            <w:r>
              <w:t>0.002</w:t>
            </w:r>
          </w:p>
        </w:tc>
      </w:tr>
      <w:tr w:rsidR="008A76CE" w:rsidTr="00EE01FB">
        <w:tc>
          <w:tcPr>
            <w:tcW w:w="5544" w:type="dxa"/>
          </w:tcPr>
          <w:p w:rsidR="008A76CE" w:rsidRDefault="008A76CE" w:rsidP="00EE01FB">
            <w:pPr>
              <w:widowControl w:val="0"/>
              <w:autoSpaceDE w:val="0"/>
              <w:autoSpaceDN w:val="0"/>
              <w:adjustRightInd w:val="0"/>
              <w:ind w:left="162" w:hanging="162"/>
            </w:pPr>
            <w:r>
              <w:t>Methoxychlor</w:t>
            </w:r>
            <w:r w:rsidR="006A111E" w:rsidRPr="0003084C">
              <w:t xml:space="preserve"> (CAS No. 72-43-5)</w:t>
            </w:r>
          </w:p>
        </w:tc>
        <w:tc>
          <w:tcPr>
            <w:tcW w:w="1440" w:type="dxa"/>
          </w:tcPr>
          <w:p w:rsidR="008A76CE" w:rsidRDefault="008A76CE" w:rsidP="00EE01FB">
            <w:pPr>
              <w:widowControl w:val="0"/>
              <w:autoSpaceDE w:val="0"/>
              <w:autoSpaceDN w:val="0"/>
              <w:adjustRightInd w:val="0"/>
              <w:ind w:left="405" w:right="-108"/>
            </w:pPr>
            <w:r>
              <w:t>0.1</w:t>
            </w:r>
          </w:p>
        </w:tc>
      </w:tr>
      <w:tr w:rsidR="008A76CE" w:rsidTr="00EE01FB">
        <w:tc>
          <w:tcPr>
            <w:tcW w:w="5544" w:type="dxa"/>
          </w:tcPr>
          <w:p w:rsidR="008A76CE" w:rsidRDefault="008A76CE" w:rsidP="00EE01FB">
            <w:pPr>
              <w:widowControl w:val="0"/>
              <w:tabs>
                <w:tab w:val="left" w:pos="1176"/>
              </w:tabs>
              <w:autoSpaceDE w:val="0"/>
              <w:autoSpaceDN w:val="0"/>
              <w:adjustRightInd w:val="0"/>
              <w:ind w:left="162" w:hanging="162"/>
            </w:pPr>
            <w:r>
              <w:t>Nitrate</w:t>
            </w:r>
            <w:r w:rsidR="006A111E" w:rsidRPr="0003084C">
              <w:t xml:space="preserve"> (CAS No. 14797-55-8)</w:t>
            </w:r>
          </w:p>
        </w:tc>
        <w:tc>
          <w:tcPr>
            <w:tcW w:w="1440" w:type="dxa"/>
          </w:tcPr>
          <w:p w:rsidR="008A76CE" w:rsidRDefault="008A76CE" w:rsidP="00EE01FB">
            <w:pPr>
              <w:widowControl w:val="0"/>
              <w:autoSpaceDE w:val="0"/>
              <w:autoSpaceDN w:val="0"/>
              <w:adjustRightInd w:val="0"/>
              <w:ind w:left="405" w:right="-108"/>
            </w:pPr>
            <w:r>
              <w:t>10</w:t>
            </w:r>
          </w:p>
        </w:tc>
      </w:tr>
      <w:tr w:rsidR="008A76CE" w:rsidTr="00EE01FB">
        <w:tc>
          <w:tcPr>
            <w:tcW w:w="5544" w:type="dxa"/>
          </w:tcPr>
          <w:p w:rsidR="008A76CE" w:rsidRDefault="008A76CE" w:rsidP="00EE01FB">
            <w:pPr>
              <w:widowControl w:val="0"/>
              <w:tabs>
                <w:tab w:val="left" w:pos="1334"/>
              </w:tabs>
              <w:autoSpaceDE w:val="0"/>
              <w:autoSpaceDN w:val="0"/>
              <w:adjustRightInd w:val="0"/>
              <w:ind w:left="162" w:hanging="162"/>
            </w:pPr>
            <w:r>
              <w:t>Selenium</w:t>
            </w:r>
            <w:r w:rsidR="006A111E" w:rsidRPr="0003084C">
              <w:t xml:space="preserve"> (CAS No. 7782-49-2)</w:t>
            </w:r>
          </w:p>
        </w:tc>
        <w:tc>
          <w:tcPr>
            <w:tcW w:w="1440" w:type="dxa"/>
          </w:tcPr>
          <w:p w:rsidR="008A76CE" w:rsidRDefault="008A76CE" w:rsidP="00EE01FB">
            <w:pPr>
              <w:widowControl w:val="0"/>
              <w:autoSpaceDE w:val="0"/>
              <w:autoSpaceDN w:val="0"/>
              <w:adjustRightInd w:val="0"/>
              <w:ind w:left="405" w:right="-108"/>
            </w:pPr>
            <w:r>
              <w:t>0.01</w:t>
            </w:r>
          </w:p>
        </w:tc>
      </w:tr>
      <w:tr w:rsidR="008A76CE" w:rsidTr="00EE01FB">
        <w:tc>
          <w:tcPr>
            <w:tcW w:w="5544" w:type="dxa"/>
          </w:tcPr>
          <w:p w:rsidR="008A76CE" w:rsidRDefault="008A76CE" w:rsidP="00EE01FB">
            <w:pPr>
              <w:widowControl w:val="0"/>
              <w:autoSpaceDE w:val="0"/>
              <w:autoSpaceDN w:val="0"/>
              <w:adjustRightInd w:val="0"/>
              <w:ind w:left="162" w:hanging="162"/>
            </w:pPr>
            <w:r>
              <w:t>Silver</w:t>
            </w:r>
            <w:r w:rsidR="006A111E" w:rsidRPr="0003084C">
              <w:t xml:space="preserve"> (CAS No. 7440-22-4)</w:t>
            </w:r>
          </w:p>
        </w:tc>
        <w:tc>
          <w:tcPr>
            <w:tcW w:w="1440" w:type="dxa"/>
          </w:tcPr>
          <w:p w:rsidR="008A76CE" w:rsidRDefault="008A76CE" w:rsidP="00EE01FB">
            <w:pPr>
              <w:widowControl w:val="0"/>
              <w:autoSpaceDE w:val="0"/>
              <w:autoSpaceDN w:val="0"/>
              <w:adjustRightInd w:val="0"/>
              <w:ind w:left="405" w:right="-108"/>
            </w:pPr>
            <w:r>
              <w:t>0.05</w:t>
            </w:r>
          </w:p>
        </w:tc>
      </w:tr>
      <w:tr w:rsidR="008A76CE" w:rsidTr="00EE01FB">
        <w:tc>
          <w:tcPr>
            <w:tcW w:w="5544" w:type="dxa"/>
          </w:tcPr>
          <w:p w:rsidR="008A76CE" w:rsidRDefault="008A76CE" w:rsidP="00EE01FB">
            <w:pPr>
              <w:widowControl w:val="0"/>
              <w:autoSpaceDE w:val="0"/>
              <w:autoSpaceDN w:val="0"/>
              <w:adjustRightInd w:val="0"/>
              <w:ind w:left="162" w:hanging="162"/>
            </w:pPr>
            <w:r>
              <w:t>Toxaphene</w:t>
            </w:r>
            <w:r w:rsidR="006A111E" w:rsidRPr="0003084C">
              <w:t xml:space="preserve"> (CAS No. 8001-35-2)</w:t>
            </w:r>
          </w:p>
        </w:tc>
        <w:tc>
          <w:tcPr>
            <w:tcW w:w="1440" w:type="dxa"/>
          </w:tcPr>
          <w:p w:rsidR="008A76CE" w:rsidRDefault="008A76CE" w:rsidP="00EE01FB">
            <w:pPr>
              <w:widowControl w:val="0"/>
              <w:autoSpaceDE w:val="0"/>
              <w:autoSpaceDN w:val="0"/>
              <w:adjustRightInd w:val="0"/>
              <w:ind w:left="405" w:right="-108"/>
            </w:pPr>
            <w:r>
              <w:t>0.005</w:t>
            </w:r>
          </w:p>
        </w:tc>
      </w:tr>
      <w:tr w:rsidR="008A76CE" w:rsidTr="00EE01FB">
        <w:tc>
          <w:tcPr>
            <w:tcW w:w="5544" w:type="dxa"/>
          </w:tcPr>
          <w:p w:rsidR="008A76CE" w:rsidRDefault="006A111E" w:rsidP="006D521E">
            <w:pPr>
              <w:widowControl w:val="0"/>
              <w:autoSpaceDE w:val="0"/>
              <w:autoSpaceDN w:val="0"/>
              <w:adjustRightInd w:val="0"/>
              <w:ind w:left="162" w:hanging="162"/>
            </w:pPr>
            <w:bookmarkStart w:id="0" w:name="_Hlk33725395"/>
            <w:r w:rsidRPr="0003084C">
              <w:t>l,l,l-Trichloroethane</w:t>
            </w:r>
            <w:bookmarkEnd w:id="0"/>
            <w:r w:rsidRPr="0003084C">
              <w:t xml:space="preserve"> (CAS No. 71-55-6)</w:t>
            </w:r>
            <w:bookmarkStart w:id="1" w:name="_GoBack"/>
            <w:bookmarkEnd w:id="1"/>
          </w:p>
        </w:tc>
        <w:tc>
          <w:tcPr>
            <w:tcW w:w="1440" w:type="dxa"/>
          </w:tcPr>
          <w:p w:rsidR="008A76CE" w:rsidRDefault="008A76CE" w:rsidP="00EE01FB">
            <w:pPr>
              <w:widowControl w:val="0"/>
              <w:autoSpaceDE w:val="0"/>
              <w:autoSpaceDN w:val="0"/>
              <w:adjustRightInd w:val="0"/>
              <w:ind w:left="405" w:right="-108"/>
            </w:pPr>
            <w:r>
              <w:t>0.2</w:t>
            </w:r>
          </w:p>
        </w:tc>
      </w:tr>
      <w:tr w:rsidR="008A76CE" w:rsidTr="00EE01FB">
        <w:tc>
          <w:tcPr>
            <w:tcW w:w="5544" w:type="dxa"/>
          </w:tcPr>
          <w:p w:rsidR="008A76CE" w:rsidRDefault="00BC09CD" w:rsidP="00EE01FB">
            <w:pPr>
              <w:widowControl w:val="0"/>
              <w:autoSpaceDE w:val="0"/>
              <w:autoSpaceDN w:val="0"/>
              <w:adjustRightInd w:val="0"/>
              <w:ind w:left="162" w:hanging="162"/>
            </w:pPr>
            <w:r>
              <w:t>T</w:t>
            </w:r>
            <w:r w:rsidR="008A76CE">
              <w:t>richloroethylene</w:t>
            </w:r>
            <w:r w:rsidR="006A111E" w:rsidRPr="0003084C">
              <w:t xml:space="preserve"> (CAS No. 79-01-6)</w:t>
            </w:r>
          </w:p>
        </w:tc>
        <w:tc>
          <w:tcPr>
            <w:tcW w:w="1440" w:type="dxa"/>
          </w:tcPr>
          <w:p w:rsidR="008A76CE" w:rsidRDefault="008A76CE" w:rsidP="00EE01FB">
            <w:pPr>
              <w:widowControl w:val="0"/>
              <w:autoSpaceDE w:val="0"/>
              <w:autoSpaceDN w:val="0"/>
              <w:adjustRightInd w:val="0"/>
              <w:ind w:left="405" w:right="-108"/>
            </w:pPr>
            <w:r>
              <w:t>0.005</w:t>
            </w:r>
          </w:p>
        </w:tc>
      </w:tr>
      <w:tr w:rsidR="008A76CE" w:rsidTr="00EE01FB">
        <w:tc>
          <w:tcPr>
            <w:tcW w:w="5544" w:type="dxa"/>
          </w:tcPr>
          <w:p w:rsidR="008A76CE" w:rsidRDefault="006A111E" w:rsidP="00EE01FB">
            <w:pPr>
              <w:ind w:left="162" w:hanging="162"/>
            </w:pPr>
            <w:bookmarkStart w:id="2" w:name="_Hlk33725420"/>
            <w:r w:rsidRPr="0003084C">
              <w:t>2,4,5-Trichlorophenoxyacetic acid</w:t>
            </w:r>
            <w:bookmarkEnd w:id="2"/>
            <w:r w:rsidRPr="0003084C">
              <w:t xml:space="preserve"> (CAS No. 93-76-5)</w:t>
            </w:r>
            <w:r w:rsidR="00EE01FB">
              <w:t xml:space="preserve"> </w:t>
            </w:r>
          </w:p>
        </w:tc>
        <w:tc>
          <w:tcPr>
            <w:tcW w:w="1440" w:type="dxa"/>
          </w:tcPr>
          <w:p w:rsidR="008A76CE" w:rsidRDefault="008A76CE" w:rsidP="00EE01FB">
            <w:pPr>
              <w:widowControl w:val="0"/>
              <w:autoSpaceDE w:val="0"/>
              <w:autoSpaceDN w:val="0"/>
              <w:adjustRightInd w:val="0"/>
              <w:ind w:left="405" w:right="-108"/>
            </w:pPr>
            <w:r>
              <w:t>0.01</w:t>
            </w:r>
          </w:p>
        </w:tc>
      </w:tr>
      <w:tr w:rsidR="001D45EE" w:rsidTr="00EE01FB">
        <w:tc>
          <w:tcPr>
            <w:tcW w:w="5544" w:type="dxa"/>
          </w:tcPr>
          <w:p w:rsidR="001D45EE" w:rsidRDefault="001D45EE" w:rsidP="00EE01FB">
            <w:pPr>
              <w:widowControl w:val="0"/>
              <w:autoSpaceDE w:val="0"/>
              <w:autoSpaceDN w:val="0"/>
              <w:adjustRightInd w:val="0"/>
              <w:ind w:left="162" w:hanging="162"/>
            </w:pPr>
            <w:r>
              <w:t xml:space="preserve">Vinyl </w:t>
            </w:r>
            <w:r w:rsidR="006A111E" w:rsidRPr="0003084C">
              <w:t>chloride (CAS No. 75-01-4)</w:t>
            </w:r>
          </w:p>
        </w:tc>
        <w:tc>
          <w:tcPr>
            <w:tcW w:w="1440" w:type="dxa"/>
          </w:tcPr>
          <w:p w:rsidR="001D45EE" w:rsidRDefault="008A76CE" w:rsidP="00EE01FB">
            <w:pPr>
              <w:widowControl w:val="0"/>
              <w:autoSpaceDE w:val="0"/>
              <w:autoSpaceDN w:val="0"/>
              <w:adjustRightInd w:val="0"/>
              <w:ind w:left="405" w:right="-108"/>
            </w:pPr>
            <w:r>
              <w:t>0.002</w:t>
            </w:r>
          </w:p>
        </w:tc>
      </w:tr>
    </w:tbl>
    <w:p w:rsidR="001D45EE" w:rsidRPr="006A111E" w:rsidRDefault="001D45EE" w:rsidP="006A111E"/>
    <w:p w:rsidR="006A111E" w:rsidRPr="006A111E" w:rsidRDefault="006A111E" w:rsidP="006A111E">
      <w:pPr>
        <w:ind w:left="2160"/>
      </w:pPr>
      <w:r w:rsidRPr="006A111E">
        <w:t>BOARD NOTE: Subsection (b)(3) is derived from 40 CFR 258.40 Table 1.</w:t>
      </w:r>
    </w:p>
    <w:p w:rsidR="006A111E" w:rsidRPr="006A111E" w:rsidRDefault="006A111E" w:rsidP="006A111E"/>
    <w:p w:rsidR="00BD4F44" w:rsidRDefault="00BD4F44" w:rsidP="00BD4F44">
      <w:pPr>
        <w:widowControl w:val="0"/>
        <w:autoSpaceDE w:val="0"/>
        <w:autoSpaceDN w:val="0"/>
        <w:adjustRightInd w:val="0"/>
        <w:ind w:left="2160" w:hanging="720"/>
      </w:pPr>
      <w:r>
        <w:lastRenderedPageBreak/>
        <w:t>4)</w:t>
      </w:r>
      <w:r>
        <w:tab/>
        <w:t xml:space="preserve">For groundwater </w:t>
      </w:r>
      <w:r w:rsidR="00751DC8">
        <w:t>that</w:t>
      </w:r>
      <w:r>
        <w:t xml:space="preserve"> contains naturally occurring constituents </w:t>
      </w:r>
      <w:r w:rsidR="003C72E9">
        <w:t>that</w:t>
      </w:r>
      <w:r>
        <w:t xml:space="preserve"> do not meet the standards of 35 Ill. Adm. Code </w:t>
      </w:r>
      <w:r w:rsidR="00635880">
        <w:t>620.410, 620.420, 620.430</w:t>
      </w:r>
      <w:r w:rsidR="00751DC8">
        <w:t>,</w:t>
      </w:r>
      <w:r w:rsidR="00635880">
        <w:t xml:space="preserve"> or 620.440</w:t>
      </w:r>
      <w:r>
        <w:t xml:space="preserve">, the Board will specify adjusted groundwater quality standards, upon a demonstration by the operator that: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The groundwater does not presently serve as a source of drinking water;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The change in standards will not interfere with, or become injurious to, any present or potential beneficial uses for </w:t>
      </w:r>
      <w:r w:rsidR="00751DC8">
        <w:t>those</w:t>
      </w:r>
      <w:r>
        <w:t xml:space="preserve"> waters;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C)</w:t>
      </w:r>
      <w: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w:t>
      </w:r>
      <w:r w:rsidR="00D66471">
        <w:t>; and</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D)</w:t>
      </w:r>
      <w:r>
        <w:tab/>
        <w:t xml:space="preserve">The groundwater cannot presently, and will not in the future, serve as a source of drinking water because: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3600" w:hanging="720"/>
      </w:pPr>
      <w:r>
        <w:t>i)</w:t>
      </w:r>
      <w:r>
        <w:tab/>
        <w:t xml:space="preserve">It is impossible to remove water in usable quantities;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3600" w:hanging="720"/>
      </w:pPr>
      <w:r>
        <w:t>ii)</w:t>
      </w:r>
      <w:r>
        <w:tab/>
        <w:t xml:space="preserve">The groundwater is situated at a depth or location such that recovery of water for drinking purposes is not technologically feasible or economically reasonable;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3600" w:hanging="720"/>
      </w:pPr>
      <w:r>
        <w:t>iii)</w:t>
      </w:r>
      <w:r>
        <w:tab/>
        <w:t xml:space="preserve">The groundwater is so contaminated that it would be economically or technologically impractical to render that water fit for human consumption;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3600" w:hanging="720"/>
      </w:pPr>
      <w:r>
        <w:t>iv)</w:t>
      </w:r>
      <w:r>
        <w:tab/>
        <w:t>The total dissolved solids content of the groundwater is more than 3,000 mg/</w:t>
      </w:r>
      <w:r w:rsidR="00D23EC3">
        <w:t>ℓ</w:t>
      </w:r>
      <w:r>
        <w:t xml:space="preserve"> and that water will not be used to serve a public water supply system; or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3600" w:hanging="720"/>
      </w:pPr>
      <w:r>
        <w:t>v)</w:t>
      </w:r>
      <w:r>
        <w:tab/>
        <w:t>The total dissolved solids content of the groundwater exceeds 10,000 mg/</w:t>
      </w:r>
      <w:r w:rsidR="00D23EC3">
        <w:t>ℓ</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1440" w:hanging="720"/>
      </w:pPr>
      <w:r>
        <w:t>c)</w:t>
      </w:r>
      <w:r>
        <w:tab/>
        <w:t xml:space="preserve">Determination of the Zone of Attenuation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1)</w:t>
      </w:r>
      <w:r>
        <w:tab/>
        <w:t xml:space="preserve">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w:t>
      </w:r>
      <w:r>
        <w:lastRenderedPageBreak/>
        <w:t xml:space="preserve">less, extending from the ground surface to the bottom of the uppermost aquifer and excluding the volume occupied by the waste.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2)</w:t>
      </w:r>
      <w:r>
        <w:tab/>
        <w:t xml:space="preserve">Zones of attenuation </w:t>
      </w:r>
      <w:r w:rsidR="00D23EC3">
        <w:t>must</w:t>
      </w:r>
      <w:r>
        <w:t xml:space="preserve"> not extend to the annual </w:t>
      </w:r>
      <w:r w:rsidR="006A111E">
        <w:t>high-water</w:t>
      </w:r>
      <w:r>
        <w:t xml:space="preserve"> mark of navigable surface waters.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3)</w:t>
      </w:r>
      <w:r>
        <w:tab/>
        <w:t xml:space="preserve">Overlapping zones of attenuation from units within a single facility may be combined into a single zone for the purposes of establishing a monitoring network.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1440" w:hanging="720"/>
      </w:pPr>
      <w:r>
        <w:t>d)</w:t>
      </w:r>
      <w:r>
        <w:tab/>
        <w:t xml:space="preserve">Establishment of Background Concentrations </w:t>
      </w:r>
    </w:p>
    <w:p w:rsidR="00BD2512" w:rsidRDefault="00BD2512" w:rsidP="00D753F9">
      <w:pPr>
        <w:widowControl w:val="0"/>
        <w:autoSpaceDE w:val="0"/>
        <w:autoSpaceDN w:val="0"/>
        <w:adjustRightInd w:val="0"/>
      </w:pPr>
    </w:p>
    <w:p w:rsidR="006F4144" w:rsidRDefault="00BD4F44" w:rsidP="00BD4F44">
      <w:pPr>
        <w:widowControl w:val="0"/>
        <w:autoSpaceDE w:val="0"/>
        <w:autoSpaceDN w:val="0"/>
        <w:adjustRightInd w:val="0"/>
        <w:ind w:left="2160" w:hanging="720"/>
      </w:pPr>
      <w:r>
        <w:t>1)</w:t>
      </w:r>
      <w:r>
        <w:tab/>
        <w:t xml:space="preserve">The initial monitoring to determine background concentrations </w:t>
      </w:r>
      <w:r w:rsidR="00D23EC3">
        <w:t>must</w:t>
      </w:r>
      <w:r>
        <w:t xml:space="preserve"> commence during the hydrogeological assessment required by Section 811.315. The background concentrations for those parameters identified in Sections 811.315(e)(1)(G) and 811.319(a)(2) and (a)(3) </w:t>
      </w:r>
      <w:r w:rsidR="00D23EC3">
        <w:t>must</w:t>
      </w:r>
      <w:r>
        <w:t xml:space="preserve"> be established based on </w:t>
      </w:r>
      <w:r w:rsidR="00635880">
        <w:t xml:space="preserve">consecutive </w:t>
      </w:r>
      <w:r>
        <w:t xml:space="preserve">quarterly sampling of wells for </w:t>
      </w:r>
      <w:r w:rsidR="00635880">
        <w:t xml:space="preserve">a minimum of </w:t>
      </w:r>
      <w:r>
        <w:t>one year, monitored in accordance with the requirements of subsections (d)(2), (d)(3) and (d)(4)</w:t>
      </w:r>
      <w:r w:rsidR="006F4144" w:rsidRPr="000E396E">
        <w:t>.  Non-consecutive data may be considered by the Agency, if only one data point from a quarterly event is missing, and it can be demonstrated that the remaining data set is representative of consecutive data in terms of any seasonal or temporal variation.</w:t>
      </w:r>
      <w:r w:rsidR="006F4144">
        <w:t xml:space="preserve"> </w:t>
      </w:r>
      <w:r>
        <w:t xml:space="preserve"> Statistical tests and procedures </w:t>
      </w:r>
      <w:r w:rsidR="00D23EC3">
        <w:t>must</w:t>
      </w:r>
      <w:r>
        <w:t xml:space="preserve"> be employed, in accordance with subsection (e), depending on the number, type and frequency of samples collected from the wells, to establish the background concentrations. </w:t>
      </w:r>
    </w:p>
    <w:p w:rsidR="006F4144" w:rsidRDefault="006F4144" w:rsidP="00D753F9">
      <w:pPr>
        <w:widowControl w:val="0"/>
        <w:autoSpaceDE w:val="0"/>
        <w:autoSpaceDN w:val="0"/>
        <w:adjustRightInd w:val="0"/>
      </w:pPr>
    </w:p>
    <w:p w:rsidR="006F4144" w:rsidRDefault="006F4144" w:rsidP="006F4144">
      <w:pPr>
        <w:widowControl w:val="0"/>
        <w:autoSpaceDE w:val="0"/>
        <w:autoSpaceDN w:val="0"/>
        <w:adjustRightInd w:val="0"/>
        <w:ind w:left="2160" w:hanging="720"/>
      </w:pPr>
      <w:r>
        <w:t>2)</w:t>
      </w:r>
      <w:r>
        <w:tab/>
      </w:r>
      <w:r w:rsidR="00BD4F44">
        <w:t xml:space="preserve">Adjustments to the background concentrations </w:t>
      </w:r>
      <w:r w:rsidR="00D23EC3">
        <w:t>must</w:t>
      </w:r>
      <w:r w:rsidR="00BD4F44">
        <w:t xml:space="preserve"> be made if changes in the concentrations of constituents observed in </w:t>
      </w:r>
      <w:r>
        <w:t>background</w:t>
      </w:r>
      <w:r w:rsidR="00BD4F44">
        <w:t xml:space="preserve"> wells over time are determined, in accordance with subsection (e), to be statistically significant</w:t>
      </w:r>
      <w:r w:rsidRPr="000E396E">
        <w:t>, and due to natural temporal or spatial variability or due to an off-site source not associated with the landfill or the landfill activities.  Such adjustments may be conducted no more frequently than once every two years</w:t>
      </w:r>
      <w:bookmarkStart w:id="3" w:name="_DV_X13"/>
      <w:r w:rsidRPr="000E396E">
        <w:t xml:space="preserve"> during the operation of a facility</w:t>
      </w:r>
      <w:bookmarkEnd w:id="3"/>
      <w:r w:rsidRPr="000E396E">
        <w:t xml:space="preserve"> and modified subject to approval by the Agency.  Non-consecutive data may be used for an adjustment upon Agency approval.  Adjustments to the background concentration </w:t>
      </w:r>
      <w:r w:rsidR="00D23EC3">
        <w:t>must</w:t>
      </w:r>
      <w:r w:rsidRPr="000E396E">
        <w:t xml:space="preserve"> not be initiated prior to </w:t>
      </w:r>
      <w:r w:rsidR="00511757" w:rsidRPr="000E396E">
        <w:t>November 27, 2009</w:t>
      </w:r>
      <w:r w:rsidRPr="000E396E">
        <w:t xml:space="preserve"> unless required by the Agency</w:t>
      </w:r>
      <w:r w:rsidR="00BD4F44">
        <w:t>.</w:t>
      </w:r>
    </w:p>
    <w:p w:rsidR="006F4144" w:rsidRDefault="006F4144" w:rsidP="00D753F9">
      <w:pPr>
        <w:widowControl w:val="0"/>
        <w:autoSpaceDE w:val="0"/>
        <w:autoSpaceDN w:val="0"/>
        <w:adjustRightInd w:val="0"/>
      </w:pPr>
    </w:p>
    <w:p w:rsidR="00BD4F44" w:rsidRDefault="006F4144" w:rsidP="006F4144">
      <w:pPr>
        <w:widowControl w:val="0"/>
        <w:autoSpaceDE w:val="0"/>
        <w:autoSpaceDN w:val="0"/>
        <w:adjustRightInd w:val="0"/>
        <w:ind w:left="2160" w:hanging="720"/>
      </w:pPr>
      <w:r>
        <w:t>3)</w:t>
      </w:r>
      <w:r>
        <w:tab/>
      </w:r>
      <w:r w:rsidR="00BD4F44">
        <w:t xml:space="preserve">Background concentrations determined in accordance with this subsection </w:t>
      </w:r>
      <w:r w:rsidR="00D23EC3">
        <w:t>must</w:t>
      </w:r>
      <w:r w:rsidR="00BD4F44">
        <w:t xml:space="preserve"> be used for the purposes of establishing groundwater quality standards, in accordance with subsection (a).  The operator </w:t>
      </w:r>
      <w:r w:rsidR="00D23EC3">
        <w:t>must</w:t>
      </w:r>
      <w:r w:rsidR="00BD4F44">
        <w:t xml:space="preserve"> prepare a list of the background concentrations established in accordance with this subsection.  The operator </w:t>
      </w:r>
      <w:r w:rsidR="00D23EC3">
        <w:t>must</w:t>
      </w:r>
      <w:r w:rsidR="00BD4F44">
        <w:t xml:space="preserve"> maintain such a list at the facility, </w:t>
      </w:r>
      <w:r w:rsidR="00D23EC3">
        <w:t>must</w:t>
      </w:r>
      <w:r w:rsidR="00BD4F44">
        <w:t xml:space="preserve"> submit a copy of the list to the Agency for establishing standards in accordance with subsection (a), and </w:t>
      </w:r>
      <w:r w:rsidR="00D23EC3">
        <w:t>must</w:t>
      </w:r>
      <w:r w:rsidR="00BD4F44">
        <w:t xml:space="preserve"> provide updates to the list within </w:t>
      </w:r>
      <w:r w:rsidR="00BD4F44">
        <w:lastRenderedPageBreak/>
        <w:t xml:space="preserve">ten days of any change to the list. </w:t>
      </w:r>
    </w:p>
    <w:p w:rsidR="00BD2512" w:rsidRDefault="00BD2512" w:rsidP="00D753F9">
      <w:pPr>
        <w:widowControl w:val="0"/>
        <w:autoSpaceDE w:val="0"/>
        <w:autoSpaceDN w:val="0"/>
        <w:adjustRightInd w:val="0"/>
      </w:pPr>
    </w:p>
    <w:p w:rsidR="00BD4F44" w:rsidRDefault="006F4144" w:rsidP="00BD4F44">
      <w:pPr>
        <w:widowControl w:val="0"/>
        <w:autoSpaceDE w:val="0"/>
        <w:autoSpaceDN w:val="0"/>
        <w:adjustRightInd w:val="0"/>
        <w:ind w:left="2160" w:hanging="720"/>
      </w:pPr>
      <w:r>
        <w:t>4</w:t>
      </w:r>
      <w:r w:rsidR="00BD4F44">
        <w:t>)</w:t>
      </w:r>
      <w:r w:rsidR="00BD4F44">
        <w:tab/>
        <w:t xml:space="preserve">A network of monitoring wells </w:t>
      </w:r>
      <w:r w:rsidR="00D23EC3">
        <w:t>must</w:t>
      </w:r>
      <w:r w:rsidR="00BD4F44">
        <w:t xml:space="preserve"> be established upgradient from the unit, with respect to groundwater flow, in accordance with the following standards, in order to determine the background concentrations of constituents in the groundwater: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The wells </w:t>
      </w:r>
      <w:r w:rsidR="00D23EC3">
        <w:t>must</w:t>
      </w:r>
      <w:r>
        <w:t xml:space="preserve"> be located at such a distance that discharges of contaminants from the unit will not be detectable;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The wells </w:t>
      </w:r>
      <w:r w:rsidR="00D23EC3">
        <w:t>must</w:t>
      </w:r>
      <w:r>
        <w:t xml:space="preserve"> be sampled at the same frequency as other monitoring points to provide continuous background concentration data, throughout the monitoring period; and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C)</w:t>
      </w:r>
      <w:r>
        <w:tab/>
        <w:t xml:space="preserve">The wells </w:t>
      </w:r>
      <w:r w:rsidR="00D23EC3">
        <w:t>must</w:t>
      </w:r>
      <w:r>
        <w:t xml:space="preserve"> be located at several depths to provide data on the spatial variability. </w:t>
      </w:r>
    </w:p>
    <w:p w:rsidR="00BD2512" w:rsidRDefault="00BD2512" w:rsidP="00D753F9">
      <w:pPr>
        <w:widowControl w:val="0"/>
        <w:autoSpaceDE w:val="0"/>
        <w:autoSpaceDN w:val="0"/>
        <w:adjustRightInd w:val="0"/>
      </w:pPr>
    </w:p>
    <w:p w:rsidR="00BD4F44" w:rsidRDefault="006F4144" w:rsidP="00BD4F44">
      <w:pPr>
        <w:widowControl w:val="0"/>
        <w:autoSpaceDE w:val="0"/>
        <w:autoSpaceDN w:val="0"/>
        <w:adjustRightInd w:val="0"/>
        <w:ind w:left="2160" w:hanging="720"/>
      </w:pPr>
      <w:r>
        <w:t>5</w:t>
      </w:r>
      <w:r w:rsidR="00BD4F44">
        <w:t>)</w:t>
      </w:r>
      <w:r w:rsidR="00BD4F44">
        <w:tab/>
        <w:t xml:space="preserve">A determination of background concentrations may include the sampling of wells that are not hydraulically upgradient of the waste unit </w:t>
      </w:r>
      <w:r w:rsidR="003C72E9">
        <w:t>if the following conditions are met</w:t>
      </w:r>
      <w:r w:rsidR="00BD4F44">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Hydrogeologic conditions do not allow the owner or operator to determine what wells are hydraulically upgradient of the waste; and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Sampling at other wells will provide an indication of background concentrations that is representative of that which would have been provided by upgradient wells. </w:t>
      </w:r>
    </w:p>
    <w:p w:rsidR="00BD2512" w:rsidRDefault="00BD2512" w:rsidP="00D753F9">
      <w:pPr>
        <w:widowControl w:val="0"/>
        <w:autoSpaceDE w:val="0"/>
        <w:autoSpaceDN w:val="0"/>
        <w:adjustRightInd w:val="0"/>
      </w:pPr>
    </w:p>
    <w:p w:rsidR="00BD4F44" w:rsidRDefault="006F4144" w:rsidP="00BD4F44">
      <w:pPr>
        <w:widowControl w:val="0"/>
        <w:autoSpaceDE w:val="0"/>
        <w:autoSpaceDN w:val="0"/>
        <w:adjustRightInd w:val="0"/>
        <w:ind w:left="2160" w:hanging="720"/>
      </w:pPr>
      <w:r>
        <w:t>6</w:t>
      </w:r>
      <w:r w:rsidR="00BD4F44">
        <w:t>)</w:t>
      </w:r>
      <w:r w:rsidR="00BD4F44">
        <w:tab/>
        <w:t xml:space="preserve">If background concentrations cannot be determined on site, then alternative background concentrations may be determined from actual monitoring data from the aquifer of concern, which includes, but is not limited to, data from another landfill site that overlies the same aquifer.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1440" w:hanging="720"/>
      </w:pPr>
      <w:r>
        <w:t>e)</w:t>
      </w:r>
      <w:r>
        <w:tab/>
        <w:t xml:space="preserve">Statistical Analysis of Groundwater Monitoring Data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1)</w:t>
      </w:r>
      <w:r>
        <w:tab/>
        <w:t xml:space="preserve">Statistical tests </w:t>
      </w:r>
      <w:r w:rsidR="00D23EC3">
        <w:t>must</w:t>
      </w:r>
      <w:r>
        <w:t xml:space="preserve"> be used to analyze groundwater monitoring data.  One or more of the normal theory statistical tests </w:t>
      </w:r>
      <w:r w:rsidR="00D23EC3">
        <w:t>must</w:t>
      </w:r>
      <w:r>
        <w:t xml:space="preserve"> be chosen first for analyzing the data set or transformations of the data set.  </w:t>
      </w:r>
      <w:r w:rsidR="00751DC8">
        <w:t>If these</w:t>
      </w:r>
      <w:r>
        <w:t xml:space="preserve"> normal theory tests are </w:t>
      </w:r>
      <w:r w:rsidR="00E65AB0">
        <w:t xml:space="preserve">demonstrated to be </w:t>
      </w:r>
      <w:r>
        <w:t>inappropriate</w:t>
      </w:r>
      <w:r w:rsidR="00D66471">
        <w:t>,</w:t>
      </w:r>
      <w:r>
        <w:t xml:space="preserve"> tests listed in subsection (e)</w:t>
      </w:r>
      <w:r w:rsidR="00477E44">
        <w:t>(4)</w:t>
      </w:r>
      <w:r>
        <w:t xml:space="preserve"> </w:t>
      </w:r>
      <w:r w:rsidR="00D23EC3">
        <w:t>must</w:t>
      </w:r>
      <w:r>
        <w:t xml:space="preserve"> be used.  </w:t>
      </w:r>
      <w:r w:rsidR="00477E44">
        <w:t>The</w:t>
      </w:r>
      <w:r>
        <w:t xml:space="preserve"> level of significance (Type I error level) </w:t>
      </w:r>
      <w:r w:rsidR="00D23EC3">
        <w:t>must</w:t>
      </w:r>
      <w:r>
        <w:t xml:space="preserve"> be no less than 0.01, for individual well comparisons, and no less than 0.05, for multiple well comparisons.  The statistical analysis </w:t>
      </w:r>
      <w:r w:rsidR="00D23EC3">
        <w:t>must</w:t>
      </w:r>
      <w:r>
        <w:t xml:space="preserve"> include, but not be limited to, the accounting of data below the detection limit of the analytical method used, the establishment of background concentrations and the determination of whether statistically significant changes have </w:t>
      </w:r>
      <w:r>
        <w:lastRenderedPageBreak/>
        <w:t xml:space="preserve">occurred in: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t xml:space="preserve">The concentration of any chemical constituent with respect to the background concentration or maximum allowable predicted concentration; and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t xml:space="preserve">The established background concentration of any chemical constituents over time.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2)</w:t>
      </w:r>
      <w:r>
        <w:tab/>
        <w:t xml:space="preserve">The statistical test or tests used </w:t>
      </w:r>
      <w:r w:rsidR="00D23EC3">
        <w:t>must</w:t>
      </w:r>
      <w:r>
        <w:t xml:space="preserve"> be based upon the sampling and collection protocol of Sections 811.318 and 811.319.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3)</w:t>
      </w:r>
      <w:r>
        <w:tab/>
        <w:t xml:space="preserve">Monitored data that are below the level of detection </w:t>
      </w:r>
      <w:r w:rsidR="00D23EC3">
        <w:t>must</w:t>
      </w:r>
      <w:r>
        <w:t xml:space="preserve"> be reported as not detected (ND).  The level of detection for each constituent </w:t>
      </w:r>
      <w:r w:rsidR="00D23EC3">
        <w:t>must</w:t>
      </w:r>
      <w:r>
        <w:t xml:space="preserve"> be the </w:t>
      </w:r>
      <w:r w:rsidR="00477E44">
        <w:t xml:space="preserve">practical quantitation limit (PQL) and </w:t>
      </w:r>
      <w:r w:rsidR="00D23EC3">
        <w:t>must</w:t>
      </w:r>
      <w:r w:rsidR="00477E44">
        <w:t xml:space="preserve"> be the lowest</w:t>
      </w:r>
      <w:r>
        <w:t xml:space="preserve"> concentration </w:t>
      </w:r>
      <w:r w:rsidR="00477E44" w:rsidRPr="000E396E">
        <w:t>that is protective of human health and the environment, and can be achieved within specified limits of precision and accuracy during routine laboratory operating conditions.  In no case</w:t>
      </w:r>
      <w:r w:rsidR="00E65AB0">
        <w:t>,</w:t>
      </w:r>
      <w:r w:rsidR="00477E44" w:rsidRPr="000E396E">
        <w:t xml:space="preserve"> </w:t>
      </w:r>
      <w:r w:rsidR="00D23EC3">
        <w:t>must</w:t>
      </w:r>
      <w:r w:rsidR="00477E44" w:rsidRPr="000E396E">
        <w:t xml:space="preserve"> the PQL be established above the level that the Board has established for a groundwater quality standard under the Illinois Groundwater Protection Act</w:t>
      </w:r>
      <w:r>
        <w:t>.  The following procedure</w:t>
      </w:r>
      <w:r w:rsidR="00D66471">
        <w:t>s</w:t>
      </w:r>
      <w:r>
        <w:t xml:space="preserve"> </w:t>
      </w:r>
      <w:r w:rsidR="002E669F">
        <w:t>must</w:t>
      </w:r>
      <w:r>
        <w:t xml:space="preserve"> be used to analyze such data, unless an alternative procedure in accordance with subsection (e)(</w:t>
      </w:r>
      <w:r w:rsidR="00477E44">
        <w:t>4</w:t>
      </w:r>
      <w:r>
        <w:t xml:space="preserve">), is shown to be applicable: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A)</w:t>
      </w:r>
      <w:r>
        <w:tab/>
      </w:r>
      <w:r w:rsidR="00751DC8">
        <w:t>If</w:t>
      </w:r>
      <w:r>
        <w:t xml:space="preserve"> the percentage of </w:t>
      </w:r>
      <w:r w:rsidR="006A111E">
        <w:t>non-detects</w:t>
      </w:r>
      <w:r>
        <w:t xml:space="preserve"> in the data base used is less than 15 percent, the operator </w:t>
      </w:r>
      <w:r w:rsidR="002E669F">
        <w:t>must</w:t>
      </w:r>
      <w:r>
        <w:t xml:space="preserve"> replace NDs with the </w:t>
      </w:r>
      <w:r w:rsidR="00477E44">
        <w:t>PQL</w:t>
      </w:r>
      <w:r>
        <w:t xml:space="preserve"> divided by two, then proceed with the use of one or more of the </w:t>
      </w:r>
      <w:r w:rsidR="00751DC8">
        <w:t>normal theory</w:t>
      </w:r>
      <w:r>
        <w:t xml:space="preserve"> statistical tests;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B)</w:t>
      </w:r>
      <w:r>
        <w:tab/>
      </w:r>
      <w:r w:rsidR="00751DC8">
        <w:t>If</w:t>
      </w:r>
      <w:r>
        <w:t xml:space="preserve"> the percentage of </w:t>
      </w:r>
      <w:r w:rsidR="006A111E">
        <w:t>non-detects</w:t>
      </w:r>
      <w:r>
        <w:t xml:space="preserve"> in the data base used is between 15 and 50 percent, and the data are normally distributed, the operator </w:t>
      </w:r>
      <w:r w:rsidR="002E669F">
        <w:t>must</w:t>
      </w:r>
      <w:r>
        <w:t xml:space="preserve"> use Cohen's </w:t>
      </w:r>
      <w:r w:rsidR="00477E44">
        <w:t xml:space="preserve">or Aitchison's </w:t>
      </w:r>
      <w:r>
        <w:t xml:space="preserve">adjustment to the sample mean and standard deviation, followed by </w:t>
      </w:r>
      <w:r w:rsidR="00477E44">
        <w:t>an applicable statistical procedure</w:t>
      </w:r>
      <w:r>
        <w:t xml:space="preserve">;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880" w:hanging="720"/>
      </w:pPr>
      <w:r>
        <w:t>C)</w:t>
      </w:r>
      <w:r>
        <w:tab/>
      </w:r>
      <w:r w:rsidR="00751DC8">
        <w:t>If</w:t>
      </w:r>
      <w:r>
        <w:t xml:space="preserve"> the percentage of </w:t>
      </w:r>
      <w:r w:rsidR="006A111E">
        <w:t>non-detects</w:t>
      </w:r>
      <w:r>
        <w:t xml:space="preserve"> in the database used is above 50 percent, then the owner or operator </w:t>
      </w:r>
      <w:r w:rsidR="002E669F">
        <w:t>must</w:t>
      </w:r>
      <w:r>
        <w:t xml:space="preserve"> use </w:t>
      </w:r>
      <w:r w:rsidR="00477E44">
        <w:t>an alternative procedure in accordance with</w:t>
      </w:r>
      <w:r>
        <w:t xml:space="preserve"> subsection (e)(4). </w:t>
      </w:r>
    </w:p>
    <w:p w:rsidR="00BD2512" w:rsidRDefault="00BD2512" w:rsidP="00D753F9">
      <w:pPr>
        <w:widowControl w:val="0"/>
        <w:autoSpaceDE w:val="0"/>
        <w:autoSpaceDN w:val="0"/>
        <w:adjustRightInd w:val="0"/>
      </w:pPr>
    </w:p>
    <w:p w:rsidR="00BD4F44" w:rsidRDefault="00BD4F44" w:rsidP="00BD4F44">
      <w:pPr>
        <w:widowControl w:val="0"/>
        <w:autoSpaceDE w:val="0"/>
        <w:autoSpaceDN w:val="0"/>
        <w:adjustRightInd w:val="0"/>
        <w:ind w:left="2160" w:hanging="720"/>
      </w:pPr>
      <w:r>
        <w:t>4)</w:t>
      </w:r>
      <w:r>
        <w:tab/>
        <w:t xml:space="preserve">Nonparametric statistical tests </w:t>
      </w:r>
      <w:r w:rsidR="00343D12">
        <w:t>or any</w:t>
      </w:r>
      <w:r>
        <w:t xml:space="preserve"> other statistical test if it is demonstrated to meet the requirements of 35 Ill. Adm. Code 724.197(i). </w:t>
      </w:r>
    </w:p>
    <w:p w:rsidR="00343D12" w:rsidRDefault="00343D12" w:rsidP="00A34670">
      <w:pPr>
        <w:pStyle w:val="JCARSourceNote"/>
      </w:pPr>
    </w:p>
    <w:p w:rsidR="00A34670" w:rsidRPr="00D55B37" w:rsidRDefault="00A34670">
      <w:pPr>
        <w:pStyle w:val="JCARSourceNote"/>
        <w:ind w:left="720"/>
      </w:pPr>
      <w:r>
        <w:t xml:space="preserve">(Source:  Amended at 44 Ill. Reg. </w:t>
      </w:r>
      <w:r w:rsidR="002E5411">
        <w:t>15577</w:t>
      </w:r>
      <w:r>
        <w:t xml:space="preserve">, effective </w:t>
      </w:r>
      <w:r w:rsidR="002E5411">
        <w:t>September 3, 2020</w:t>
      </w:r>
      <w:r>
        <w:t>)</w:t>
      </w:r>
    </w:p>
    <w:sectPr w:rsidR="00A34670" w:rsidRPr="00D55B37" w:rsidSect="00BD4F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F44"/>
    <w:rsid w:val="00045233"/>
    <w:rsid w:val="000E1E98"/>
    <w:rsid w:val="000E396E"/>
    <w:rsid w:val="00174353"/>
    <w:rsid w:val="001D45EE"/>
    <w:rsid w:val="00267284"/>
    <w:rsid w:val="002E5411"/>
    <w:rsid w:val="002E669F"/>
    <w:rsid w:val="003144D3"/>
    <w:rsid w:val="00343D12"/>
    <w:rsid w:val="003C72E9"/>
    <w:rsid w:val="003E5D6F"/>
    <w:rsid w:val="00477E44"/>
    <w:rsid w:val="00511757"/>
    <w:rsid w:val="005A09CA"/>
    <w:rsid w:val="005C19AB"/>
    <w:rsid w:val="005C3366"/>
    <w:rsid w:val="005F22E7"/>
    <w:rsid w:val="00635880"/>
    <w:rsid w:val="006A111E"/>
    <w:rsid w:val="006D521E"/>
    <w:rsid w:val="006F4144"/>
    <w:rsid w:val="00751DC8"/>
    <w:rsid w:val="008A76CE"/>
    <w:rsid w:val="00983042"/>
    <w:rsid w:val="009B4988"/>
    <w:rsid w:val="00A01CE4"/>
    <w:rsid w:val="00A34670"/>
    <w:rsid w:val="00AC39F7"/>
    <w:rsid w:val="00BC09CD"/>
    <w:rsid w:val="00BD2512"/>
    <w:rsid w:val="00BD4F44"/>
    <w:rsid w:val="00C106B0"/>
    <w:rsid w:val="00C45699"/>
    <w:rsid w:val="00D23EC3"/>
    <w:rsid w:val="00D66471"/>
    <w:rsid w:val="00D753F9"/>
    <w:rsid w:val="00DC29DD"/>
    <w:rsid w:val="00E65AB0"/>
    <w:rsid w:val="00EA5D69"/>
    <w:rsid w:val="00EE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786DC0-2563-48F2-BC54-6C507731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F4144"/>
    <w:rPr>
      <w:color w:val="0000FF"/>
      <w:spacing w:val="0"/>
      <w:u w:val="double"/>
    </w:rPr>
  </w:style>
  <w:style w:type="character" w:customStyle="1" w:styleId="DeltaViewMoveDestination">
    <w:name w:val="DeltaView Move Destination"/>
    <w:rsid w:val="006F4144"/>
    <w:rPr>
      <w:color w:val="00C000"/>
      <w:spacing w:val="0"/>
      <w:u w:val="double"/>
    </w:rPr>
  </w:style>
  <w:style w:type="paragraph" w:customStyle="1" w:styleId="JCARSourceNote">
    <w:name w:val="JCAR Source Note"/>
    <w:basedOn w:val="Normal"/>
    <w:rsid w:val="0034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cp:lastPrinted>2003-03-10T22:02:00Z</cp:lastPrinted>
  <dcterms:created xsi:type="dcterms:W3CDTF">2020-09-14T21:19:00Z</dcterms:created>
  <dcterms:modified xsi:type="dcterms:W3CDTF">2020-09-15T17:51:00Z</dcterms:modified>
</cp:coreProperties>
</file>