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7E4" w:rsidRDefault="00DE57E4" w:rsidP="00DE57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57E4" w:rsidRDefault="00DE57E4" w:rsidP="00DE57E4">
      <w:pPr>
        <w:widowControl w:val="0"/>
        <w:autoSpaceDE w:val="0"/>
        <w:autoSpaceDN w:val="0"/>
        <w:adjustRightInd w:val="0"/>
        <w:jc w:val="center"/>
      </w:pPr>
      <w:r>
        <w:t>SUBPART G:  MODIFICATION, APPEAL AND ENFORCEMENT</w:t>
      </w:r>
    </w:p>
    <w:sectPr w:rsidR="00DE57E4" w:rsidSect="00DE57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57E4"/>
    <w:rsid w:val="000B6F5C"/>
    <w:rsid w:val="0011525D"/>
    <w:rsid w:val="003A25E9"/>
    <w:rsid w:val="005C3366"/>
    <w:rsid w:val="00DE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MODIFICATION, APPEAL AND ENFORCEMENT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MODIFICATION, APPEAL AND ENFORCEMENT</dc:title>
  <dc:subject/>
  <dc:creator>Illinois General Assembly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