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6D8" w:rsidRDefault="001676D8" w:rsidP="001676D8">
      <w:pPr>
        <w:widowControl w:val="0"/>
        <w:autoSpaceDE w:val="0"/>
        <w:autoSpaceDN w:val="0"/>
        <w:adjustRightInd w:val="0"/>
      </w:pPr>
      <w:bookmarkStart w:id="0" w:name="_GoBack"/>
      <w:bookmarkEnd w:id="0"/>
    </w:p>
    <w:p w:rsidR="001676D8" w:rsidRDefault="001676D8" w:rsidP="001676D8">
      <w:pPr>
        <w:widowControl w:val="0"/>
        <w:autoSpaceDE w:val="0"/>
        <w:autoSpaceDN w:val="0"/>
        <w:adjustRightInd w:val="0"/>
      </w:pPr>
      <w:r>
        <w:rPr>
          <w:b/>
          <w:bCs/>
        </w:rPr>
        <w:t xml:space="preserve">Section 742.720  Chemicals with Cumulative </w:t>
      </w:r>
      <w:proofErr w:type="spellStart"/>
      <w:r>
        <w:rPr>
          <w:b/>
          <w:bCs/>
        </w:rPr>
        <w:t>Noncarcinogenic</w:t>
      </w:r>
      <w:proofErr w:type="spellEnd"/>
      <w:r>
        <w:rPr>
          <w:b/>
          <w:bCs/>
        </w:rPr>
        <w:t xml:space="preserve"> Effects</w:t>
      </w:r>
      <w:r>
        <w:t xml:space="preserve"> </w:t>
      </w:r>
    </w:p>
    <w:p w:rsidR="001676D8" w:rsidRDefault="001676D8" w:rsidP="001676D8">
      <w:pPr>
        <w:widowControl w:val="0"/>
        <w:autoSpaceDE w:val="0"/>
        <w:autoSpaceDN w:val="0"/>
        <w:adjustRightInd w:val="0"/>
      </w:pPr>
    </w:p>
    <w:p w:rsidR="001676D8" w:rsidRDefault="001676D8" w:rsidP="001676D8">
      <w:pPr>
        <w:widowControl w:val="0"/>
        <w:autoSpaceDE w:val="0"/>
        <w:autoSpaceDN w:val="0"/>
        <w:adjustRightInd w:val="0"/>
      </w:pPr>
      <w:r>
        <w:t xml:space="preserve">Appendix A, Table E lists the groups of chemicals from Appendix B, Tables A and B that have remediation objectives based on </w:t>
      </w:r>
      <w:proofErr w:type="spellStart"/>
      <w:r>
        <w:t>noncarcinogenic</w:t>
      </w:r>
      <w:proofErr w:type="spellEnd"/>
      <w:r>
        <w:t xml:space="preserve"> toxicity and that affect the same target organ.  If more than one chemical detected at a site affects the same target organ (i.e., has the same critical effect as defined by the </w:t>
      </w:r>
      <w:proofErr w:type="spellStart"/>
      <w:r>
        <w:t>RfD</w:t>
      </w:r>
      <w:proofErr w:type="spellEnd"/>
      <w:r>
        <w:t xml:space="preserve">), the initially calculated remediation value for each chemical in the group shall be corrected for cumulative effects by one of the following two methods: </w:t>
      </w:r>
    </w:p>
    <w:p w:rsidR="00C108CA" w:rsidRDefault="00C108CA" w:rsidP="001676D8">
      <w:pPr>
        <w:widowControl w:val="0"/>
        <w:autoSpaceDE w:val="0"/>
        <w:autoSpaceDN w:val="0"/>
        <w:adjustRightInd w:val="0"/>
      </w:pPr>
    </w:p>
    <w:p w:rsidR="001676D8" w:rsidRDefault="001676D8" w:rsidP="001676D8">
      <w:pPr>
        <w:widowControl w:val="0"/>
        <w:autoSpaceDE w:val="0"/>
        <w:autoSpaceDN w:val="0"/>
        <w:adjustRightInd w:val="0"/>
        <w:ind w:left="1440" w:hanging="720"/>
      </w:pPr>
      <w:r>
        <w:t>a)</w:t>
      </w:r>
      <w:r>
        <w:tab/>
        <w:t xml:space="preserve">Calculate the weighted average using the following equations: </w:t>
      </w:r>
    </w:p>
    <w:p w:rsidR="002F236D" w:rsidRDefault="002F236D" w:rsidP="001676D8">
      <w:pPr>
        <w:widowControl w:val="0"/>
        <w:autoSpaceDE w:val="0"/>
        <w:autoSpaceDN w:val="0"/>
        <w:adjustRightInd w:val="0"/>
        <w:ind w:left="1440" w:hanging="720"/>
      </w:pPr>
    </w:p>
    <w:tbl>
      <w:tblPr>
        <w:tblW w:w="5487" w:type="dxa"/>
        <w:tblInd w:w="1533" w:type="dxa"/>
        <w:tblLayout w:type="fixed"/>
        <w:tblLook w:val="0000" w:firstRow="0" w:lastRow="0" w:firstColumn="0" w:lastColumn="0" w:noHBand="0" w:noVBand="0"/>
      </w:tblPr>
      <w:tblGrid>
        <w:gridCol w:w="684"/>
        <w:gridCol w:w="352"/>
        <w:gridCol w:w="869"/>
        <w:gridCol w:w="243"/>
        <w:gridCol w:w="882"/>
        <w:gridCol w:w="236"/>
        <w:gridCol w:w="844"/>
        <w:gridCol w:w="567"/>
        <w:gridCol w:w="810"/>
      </w:tblGrid>
      <w:tr w:rsidR="002F236D">
        <w:tblPrEx>
          <w:tblCellMar>
            <w:top w:w="0" w:type="dxa"/>
            <w:bottom w:w="0" w:type="dxa"/>
          </w:tblCellMar>
        </w:tblPrEx>
        <w:tc>
          <w:tcPr>
            <w:tcW w:w="684" w:type="dxa"/>
            <w:vMerge w:val="restart"/>
            <w:vAlign w:val="center"/>
          </w:tcPr>
          <w:p w:rsidR="002F236D" w:rsidRPr="002F236D" w:rsidRDefault="002F236D" w:rsidP="001676D8">
            <w:pPr>
              <w:widowControl w:val="0"/>
              <w:autoSpaceDE w:val="0"/>
              <w:autoSpaceDN w:val="0"/>
              <w:adjustRightInd w:val="0"/>
              <w:rPr>
                <w:vertAlign w:val="subscript"/>
              </w:rPr>
            </w:pPr>
            <w:r>
              <w:t>W</w:t>
            </w:r>
            <w:r>
              <w:rPr>
                <w:vertAlign w:val="subscript"/>
              </w:rPr>
              <w:t>ave</w:t>
            </w:r>
          </w:p>
        </w:tc>
        <w:tc>
          <w:tcPr>
            <w:tcW w:w="352" w:type="dxa"/>
            <w:vMerge w:val="restart"/>
            <w:vAlign w:val="center"/>
          </w:tcPr>
          <w:p w:rsidR="002F236D" w:rsidRDefault="002F236D" w:rsidP="001676D8">
            <w:pPr>
              <w:widowControl w:val="0"/>
              <w:autoSpaceDE w:val="0"/>
              <w:autoSpaceDN w:val="0"/>
              <w:adjustRightInd w:val="0"/>
            </w:pPr>
            <w:r>
              <w:t>=</w:t>
            </w:r>
          </w:p>
        </w:tc>
        <w:tc>
          <w:tcPr>
            <w:tcW w:w="869" w:type="dxa"/>
            <w:tcBorders>
              <w:bottom w:val="single" w:sz="4" w:space="0" w:color="auto"/>
            </w:tcBorders>
          </w:tcPr>
          <w:p w:rsidR="002F236D" w:rsidRPr="002F236D" w:rsidRDefault="002F236D" w:rsidP="002F236D">
            <w:pPr>
              <w:widowControl w:val="0"/>
              <w:autoSpaceDE w:val="0"/>
              <w:autoSpaceDN w:val="0"/>
              <w:adjustRightInd w:val="0"/>
              <w:jc w:val="center"/>
              <w:rPr>
                <w:i/>
                <w:iCs/>
                <w:vertAlign w:val="subscript"/>
              </w:rPr>
            </w:pPr>
            <w:r w:rsidRPr="002F236D">
              <w:rPr>
                <w:i/>
                <w:iCs/>
              </w:rPr>
              <w:t>x</w:t>
            </w:r>
            <w:r w:rsidRPr="002F236D">
              <w:rPr>
                <w:i/>
                <w:iCs/>
                <w:vertAlign w:val="subscript"/>
              </w:rPr>
              <w:t>1</w:t>
            </w:r>
          </w:p>
        </w:tc>
        <w:tc>
          <w:tcPr>
            <w:tcW w:w="243" w:type="dxa"/>
            <w:vMerge w:val="restart"/>
            <w:vAlign w:val="center"/>
          </w:tcPr>
          <w:p w:rsidR="002F236D" w:rsidRDefault="002F236D" w:rsidP="002F236D">
            <w:pPr>
              <w:widowControl w:val="0"/>
              <w:autoSpaceDE w:val="0"/>
              <w:autoSpaceDN w:val="0"/>
              <w:adjustRightInd w:val="0"/>
              <w:ind w:left="-108" w:right="-89"/>
              <w:jc w:val="center"/>
            </w:pPr>
            <w:r>
              <w:t>+</w:t>
            </w:r>
          </w:p>
        </w:tc>
        <w:tc>
          <w:tcPr>
            <w:tcW w:w="882" w:type="dxa"/>
            <w:tcBorders>
              <w:bottom w:val="single" w:sz="4" w:space="0" w:color="auto"/>
            </w:tcBorders>
          </w:tcPr>
          <w:p w:rsidR="002F236D" w:rsidRPr="002F236D" w:rsidRDefault="002F236D" w:rsidP="002F236D">
            <w:pPr>
              <w:widowControl w:val="0"/>
              <w:autoSpaceDE w:val="0"/>
              <w:autoSpaceDN w:val="0"/>
              <w:adjustRightInd w:val="0"/>
              <w:jc w:val="center"/>
              <w:rPr>
                <w:i/>
                <w:iCs/>
                <w:vertAlign w:val="subscript"/>
              </w:rPr>
            </w:pPr>
            <w:r w:rsidRPr="002F236D">
              <w:rPr>
                <w:i/>
                <w:iCs/>
              </w:rPr>
              <w:t>x</w:t>
            </w:r>
            <w:r w:rsidRPr="002F236D">
              <w:rPr>
                <w:i/>
                <w:iCs/>
                <w:vertAlign w:val="subscript"/>
              </w:rPr>
              <w:t>2</w:t>
            </w:r>
          </w:p>
        </w:tc>
        <w:tc>
          <w:tcPr>
            <w:tcW w:w="236" w:type="dxa"/>
            <w:vMerge w:val="restart"/>
            <w:vAlign w:val="center"/>
          </w:tcPr>
          <w:p w:rsidR="002F236D" w:rsidRDefault="002F236D" w:rsidP="002F236D">
            <w:pPr>
              <w:widowControl w:val="0"/>
              <w:autoSpaceDE w:val="0"/>
              <w:autoSpaceDN w:val="0"/>
              <w:adjustRightInd w:val="0"/>
              <w:ind w:left="-126" w:right="-97"/>
              <w:jc w:val="center"/>
            </w:pPr>
            <w:r>
              <w:t>+</w:t>
            </w:r>
          </w:p>
        </w:tc>
        <w:tc>
          <w:tcPr>
            <w:tcW w:w="844" w:type="dxa"/>
            <w:tcBorders>
              <w:bottom w:val="single" w:sz="4" w:space="0" w:color="auto"/>
            </w:tcBorders>
          </w:tcPr>
          <w:p w:rsidR="002F236D" w:rsidRPr="002F236D" w:rsidRDefault="002F236D" w:rsidP="00E823CB">
            <w:pPr>
              <w:widowControl w:val="0"/>
              <w:autoSpaceDE w:val="0"/>
              <w:autoSpaceDN w:val="0"/>
              <w:adjustRightInd w:val="0"/>
              <w:jc w:val="center"/>
              <w:rPr>
                <w:i/>
                <w:iCs/>
                <w:vertAlign w:val="subscript"/>
              </w:rPr>
            </w:pPr>
            <w:r w:rsidRPr="002F236D">
              <w:rPr>
                <w:i/>
                <w:iCs/>
              </w:rPr>
              <w:t>x</w:t>
            </w:r>
            <w:r w:rsidRPr="002F236D">
              <w:rPr>
                <w:i/>
                <w:iCs/>
                <w:vertAlign w:val="subscript"/>
              </w:rPr>
              <w:t>3</w:t>
            </w:r>
          </w:p>
        </w:tc>
        <w:tc>
          <w:tcPr>
            <w:tcW w:w="567" w:type="dxa"/>
            <w:vMerge w:val="restart"/>
            <w:vAlign w:val="center"/>
          </w:tcPr>
          <w:p w:rsidR="002F236D" w:rsidRDefault="002F236D" w:rsidP="002F236D">
            <w:pPr>
              <w:widowControl w:val="0"/>
              <w:autoSpaceDE w:val="0"/>
              <w:autoSpaceDN w:val="0"/>
              <w:adjustRightInd w:val="0"/>
              <w:ind w:left="-108" w:right="-113"/>
              <w:jc w:val="center"/>
            </w:pPr>
            <w:r>
              <w:t>+...+</w:t>
            </w:r>
          </w:p>
        </w:tc>
        <w:tc>
          <w:tcPr>
            <w:tcW w:w="810" w:type="dxa"/>
          </w:tcPr>
          <w:p w:rsidR="002F236D" w:rsidRPr="002F236D" w:rsidRDefault="002F236D" w:rsidP="00E823CB">
            <w:pPr>
              <w:widowControl w:val="0"/>
              <w:autoSpaceDE w:val="0"/>
              <w:autoSpaceDN w:val="0"/>
              <w:adjustRightInd w:val="0"/>
              <w:jc w:val="center"/>
              <w:rPr>
                <w:i/>
                <w:iCs/>
                <w:vertAlign w:val="subscript"/>
              </w:rPr>
            </w:pPr>
            <w:proofErr w:type="spellStart"/>
            <w:r w:rsidRPr="002F236D">
              <w:rPr>
                <w:i/>
                <w:iCs/>
              </w:rPr>
              <w:t>x</w:t>
            </w:r>
            <w:r w:rsidRPr="002F236D">
              <w:rPr>
                <w:i/>
                <w:iCs/>
                <w:vertAlign w:val="subscript"/>
              </w:rPr>
              <w:t>a</w:t>
            </w:r>
            <w:proofErr w:type="spellEnd"/>
          </w:p>
        </w:tc>
      </w:tr>
      <w:tr w:rsidR="002F236D">
        <w:tblPrEx>
          <w:tblCellMar>
            <w:top w:w="0" w:type="dxa"/>
            <w:bottom w:w="0" w:type="dxa"/>
          </w:tblCellMar>
        </w:tblPrEx>
        <w:tc>
          <w:tcPr>
            <w:tcW w:w="684" w:type="dxa"/>
            <w:vMerge/>
          </w:tcPr>
          <w:p w:rsidR="002F236D" w:rsidRDefault="002F236D" w:rsidP="001676D8">
            <w:pPr>
              <w:widowControl w:val="0"/>
              <w:autoSpaceDE w:val="0"/>
              <w:autoSpaceDN w:val="0"/>
              <w:adjustRightInd w:val="0"/>
            </w:pPr>
          </w:p>
        </w:tc>
        <w:tc>
          <w:tcPr>
            <w:tcW w:w="352" w:type="dxa"/>
            <w:vMerge/>
          </w:tcPr>
          <w:p w:rsidR="002F236D" w:rsidRDefault="002F236D" w:rsidP="001676D8">
            <w:pPr>
              <w:widowControl w:val="0"/>
              <w:autoSpaceDE w:val="0"/>
              <w:autoSpaceDN w:val="0"/>
              <w:adjustRightInd w:val="0"/>
            </w:pPr>
          </w:p>
        </w:tc>
        <w:tc>
          <w:tcPr>
            <w:tcW w:w="869" w:type="dxa"/>
            <w:tcBorders>
              <w:top w:val="single" w:sz="4" w:space="0" w:color="auto"/>
            </w:tcBorders>
            <w:vAlign w:val="bottom"/>
          </w:tcPr>
          <w:p w:rsidR="002F236D" w:rsidRPr="002F236D" w:rsidRDefault="002F236D" w:rsidP="002F236D">
            <w:pPr>
              <w:widowControl w:val="0"/>
              <w:autoSpaceDE w:val="0"/>
              <w:autoSpaceDN w:val="0"/>
              <w:adjustRightInd w:val="0"/>
              <w:jc w:val="center"/>
              <w:rPr>
                <w:i/>
                <w:iCs/>
                <w:vertAlign w:val="subscript"/>
              </w:rPr>
            </w:pPr>
            <w:proofErr w:type="spellStart"/>
            <w:r w:rsidRPr="002F236D">
              <w:rPr>
                <w:i/>
                <w:iCs/>
              </w:rPr>
              <w:t>CUO</w:t>
            </w:r>
            <w:r w:rsidRPr="002F236D">
              <w:rPr>
                <w:i/>
                <w:iCs/>
                <w:vertAlign w:val="subscript"/>
              </w:rPr>
              <w:t>x</w:t>
            </w:r>
            <w:proofErr w:type="spellEnd"/>
          </w:p>
        </w:tc>
        <w:tc>
          <w:tcPr>
            <w:tcW w:w="243" w:type="dxa"/>
            <w:vMerge/>
          </w:tcPr>
          <w:p w:rsidR="002F236D" w:rsidRDefault="002F236D" w:rsidP="002F236D">
            <w:pPr>
              <w:widowControl w:val="0"/>
              <w:autoSpaceDE w:val="0"/>
              <w:autoSpaceDN w:val="0"/>
              <w:adjustRightInd w:val="0"/>
              <w:ind w:left="-108" w:right="-89"/>
              <w:jc w:val="center"/>
            </w:pPr>
          </w:p>
        </w:tc>
        <w:tc>
          <w:tcPr>
            <w:tcW w:w="882" w:type="dxa"/>
            <w:tcBorders>
              <w:top w:val="single" w:sz="4" w:space="0" w:color="auto"/>
            </w:tcBorders>
            <w:vAlign w:val="bottom"/>
          </w:tcPr>
          <w:p w:rsidR="002F236D" w:rsidRPr="002F236D" w:rsidRDefault="002F236D" w:rsidP="002F236D">
            <w:pPr>
              <w:widowControl w:val="0"/>
              <w:autoSpaceDE w:val="0"/>
              <w:autoSpaceDN w:val="0"/>
              <w:adjustRightInd w:val="0"/>
              <w:jc w:val="center"/>
              <w:rPr>
                <w:i/>
                <w:iCs/>
                <w:vertAlign w:val="subscript"/>
              </w:rPr>
            </w:pPr>
            <w:proofErr w:type="spellStart"/>
            <w:r w:rsidRPr="002F236D">
              <w:rPr>
                <w:i/>
                <w:iCs/>
              </w:rPr>
              <w:t>CUO</w:t>
            </w:r>
            <w:r w:rsidRPr="002F236D">
              <w:rPr>
                <w:i/>
                <w:iCs/>
                <w:vertAlign w:val="subscript"/>
              </w:rPr>
              <w:t>x</w:t>
            </w:r>
            <w:proofErr w:type="spellEnd"/>
          </w:p>
        </w:tc>
        <w:tc>
          <w:tcPr>
            <w:tcW w:w="236" w:type="dxa"/>
            <w:vMerge/>
          </w:tcPr>
          <w:p w:rsidR="002F236D" w:rsidRDefault="002F236D" w:rsidP="002F236D">
            <w:pPr>
              <w:widowControl w:val="0"/>
              <w:autoSpaceDE w:val="0"/>
              <w:autoSpaceDN w:val="0"/>
              <w:adjustRightInd w:val="0"/>
              <w:ind w:left="-126" w:right="-97"/>
              <w:jc w:val="center"/>
            </w:pPr>
          </w:p>
        </w:tc>
        <w:tc>
          <w:tcPr>
            <w:tcW w:w="844" w:type="dxa"/>
            <w:tcBorders>
              <w:top w:val="single" w:sz="4" w:space="0" w:color="auto"/>
            </w:tcBorders>
            <w:vAlign w:val="bottom"/>
          </w:tcPr>
          <w:p w:rsidR="002F236D" w:rsidRPr="002F236D" w:rsidRDefault="002F236D" w:rsidP="00E823CB">
            <w:pPr>
              <w:widowControl w:val="0"/>
              <w:autoSpaceDE w:val="0"/>
              <w:autoSpaceDN w:val="0"/>
              <w:adjustRightInd w:val="0"/>
              <w:jc w:val="center"/>
              <w:rPr>
                <w:i/>
                <w:iCs/>
                <w:vertAlign w:val="subscript"/>
              </w:rPr>
            </w:pPr>
            <w:proofErr w:type="spellStart"/>
            <w:r w:rsidRPr="002F236D">
              <w:rPr>
                <w:i/>
                <w:iCs/>
              </w:rPr>
              <w:t>CUO</w:t>
            </w:r>
            <w:r w:rsidRPr="002F236D">
              <w:rPr>
                <w:i/>
                <w:iCs/>
                <w:vertAlign w:val="subscript"/>
              </w:rPr>
              <w:t>x</w:t>
            </w:r>
            <w:proofErr w:type="spellEnd"/>
          </w:p>
        </w:tc>
        <w:tc>
          <w:tcPr>
            <w:tcW w:w="567" w:type="dxa"/>
            <w:vMerge/>
          </w:tcPr>
          <w:p w:rsidR="002F236D" w:rsidRDefault="002F236D" w:rsidP="002F236D">
            <w:pPr>
              <w:widowControl w:val="0"/>
              <w:autoSpaceDE w:val="0"/>
              <w:autoSpaceDN w:val="0"/>
              <w:adjustRightInd w:val="0"/>
              <w:ind w:left="-108" w:right="-113"/>
              <w:jc w:val="center"/>
            </w:pPr>
          </w:p>
        </w:tc>
        <w:tc>
          <w:tcPr>
            <w:tcW w:w="810" w:type="dxa"/>
            <w:vAlign w:val="bottom"/>
          </w:tcPr>
          <w:p w:rsidR="002F236D" w:rsidRPr="002F236D" w:rsidRDefault="002F236D" w:rsidP="00E823CB">
            <w:pPr>
              <w:widowControl w:val="0"/>
              <w:autoSpaceDE w:val="0"/>
              <w:autoSpaceDN w:val="0"/>
              <w:adjustRightInd w:val="0"/>
              <w:jc w:val="center"/>
              <w:rPr>
                <w:i/>
                <w:iCs/>
                <w:vertAlign w:val="subscript"/>
              </w:rPr>
            </w:pPr>
            <w:proofErr w:type="spellStart"/>
            <w:r w:rsidRPr="002F236D">
              <w:rPr>
                <w:i/>
                <w:iCs/>
              </w:rPr>
              <w:t>CUO</w:t>
            </w:r>
            <w:r w:rsidRPr="002F236D">
              <w:rPr>
                <w:i/>
                <w:iCs/>
                <w:vertAlign w:val="subscript"/>
              </w:rPr>
              <w:t>x</w:t>
            </w:r>
            <w:proofErr w:type="spellEnd"/>
          </w:p>
        </w:tc>
      </w:tr>
      <w:tr w:rsidR="002F236D">
        <w:tblPrEx>
          <w:tblCellMar>
            <w:top w:w="0" w:type="dxa"/>
            <w:bottom w:w="0" w:type="dxa"/>
          </w:tblCellMar>
        </w:tblPrEx>
        <w:tc>
          <w:tcPr>
            <w:tcW w:w="684" w:type="dxa"/>
          </w:tcPr>
          <w:p w:rsidR="002F236D" w:rsidRDefault="002F236D" w:rsidP="001676D8">
            <w:pPr>
              <w:widowControl w:val="0"/>
              <w:autoSpaceDE w:val="0"/>
              <w:autoSpaceDN w:val="0"/>
              <w:adjustRightInd w:val="0"/>
            </w:pPr>
          </w:p>
        </w:tc>
        <w:tc>
          <w:tcPr>
            <w:tcW w:w="352" w:type="dxa"/>
          </w:tcPr>
          <w:p w:rsidR="002F236D" w:rsidRDefault="002F236D" w:rsidP="001676D8">
            <w:pPr>
              <w:widowControl w:val="0"/>
              <w:autoSpaceDE w:val="0"/>
              <w:autoSpaceDN w:val="0"/>
              <w:adjustRightInd w:val="0"/>
            </w:pPr>
          </w:p>
        </w:tc>
        <w:tc>
          <w:tcPr>
            <w:tcW w:w="869" w:type="dxa"/>
          </w:tcPr>
          <w:p w:rsidR="002F236D" w:rsidRPr="002F236D" w:rsidRDefault="002F236D" w:rsidP="002F236D">
            <w:pPr>
              <w:widowControl w:val="0"/>
              <w:autoSpaceDE w:val="0"/>
              <w:autoSpaceDN w:val="0"/>
              <w:adjustRightInd w:val="0"/>
              <w:ind w:left="599" w:right="-3870"/>
              <w:rPr>
                <w:i/>
                <w:iCs/>
                <w:sz w:val="20"/>
                <w:szCs w:val="20"/>
                <w:vertAlign w:val="superscript"/>
              </w:rPr>
            </w:pPr>
            <w:r w:rsidRPr="002F236D">
              <w:rPr>
                <w:i/>
                <w:iCs/>
                <w:sz w:val="20"/>
                <w:szCs w:val="20"/>
                <w:vertAlign w:val="superscript"/>
              </w:rPr>
              <w:t>1</w:t>
            </w:r>
          </w:p>
        </w:tc>
        <w:tc>
          <w:tcPr>
            <w:tcW w:w="243" w:type="dxa"/>
            <w:vMerge/>
          </w:tcPr>
          <w:p w:rsidR="002F236D" w:rsidRDefault="002F236D" w:rsidP="002F236D">
            <w:pPr>
              <w:widowControl w:val="0"/>
              <w:autoSpaceDE w:val="0"/>
              <w:autoSpaceDN w:val="0"/>
              <w:adjustRightInd w:val="0"/>
              <w:ind w:left="-108" w:right="-89"/>
              <w:jc w:val="center"/>
            </w:pPr>
          </w:p>
        </w:tc>
        <w:tc>
          <w:tcPr>
            <w:tcW w:w="882" w:type="dxa"/>
          </w:tcPr>
          <w:p w:rsidR="002F236D" w:rsidRPr="002F236D" w:rsidRDefault="002F236D" w:rsidP="002F236D">
            <w:pPr>
              <w:widowControl w:val="0"/>
              <w:autoSpaceDE w:val="0"/>
              <w:autoSpaceDN w:val="0"/>
              <w:adjustRightInd w:val="0"/>
              <w:ind w:left="620" w:right="-2217"/>
              <w:rPr>
                <w:i/>
                <w:iCs/>
                <w:sz w:val="20"/>
                <w:szCs w:val="20"/>
                <w:vertAlign w:val="superscript"/>
              </w:rPr>
            </w:pPr>
            <w:r w:rsidRPr="002F236D">
              <w:rPr>
                <w:i/>
                <w:iCs/>
                <w:sz w:val="20"/>
                <w:szCs w:val="20"/>
                <w:vertAlign w:val="superscript"/>
              </w:rPr>
              <w:t>2</w:t>
            </w:r>
          </w:p>
        </w:tc>
        <w:tc>
          <w:tcPr>
            <w:tcW w:w="236" w:type="dxa"/>
            <w:vMerge/>
          </w:tcPr>
          <w:p w:rsidR="002F236D" w:rsidRDefault="002F236D" w:rsidP="002F236D">
            <w:pPr>
              <w:widowControl w:val="0"/>
              <w:autoSpaceDE w:val="0"/>
              <w:autoSpaceDN w:val="0"/>
              <w:adjustRightInd w:val="0"/>
              <w:ind w:left="-126" w:right="-97"/>
              <w:jc w:val="center"/>
            </w:pPr>
          </w:p>
        </w:tc>
        <w:tc>
          <w:tcPr>
            <w:tcW w:w="844" w:type="dxa"/>
          </w:tcPr>
          <w:p w:rsidR="002F236D" w:rsidRPr="002F236D" w:rsidRDefault="002F236D" w:rsidP="002F236D">
            <w:pPr>
              <w:widowControl w:val="0"/>
              <w:autoSpaceDE w:val="0"/>
              <w:autoSpaceDN w:val="0"/>
              <w:adjustRightInd w:val="0"/>
              <w:ind w:left="601" w:right="-2217"/>
              <w:rPr>
                <w:i/>
                <w:iCs/>
                <w:sz w:val="20"/>
                <w:szCs w:val="20"/>
                <w:vertAlign w:val="superscript"/>
              </w:rPr>
            </w:pPr>
            <w:r w:rsidRPr="002F236D">
              <w:rPr>
                <w:i/>
                <w:iCs/>
                <w:sz w:val="20"/>
                <w:szCs w:val="20"/>
                <w:vertAlign w:val="superscript"/>
              </w:rPr>
              <w:t>3</w:t>
            </w:r>
          </w:p>
        </w:tc>
        <w:tc>
          <w:tcPr>
            <w:tcW w:w="567" w:type="dxa"/>
            <w:vMerge/>
          </w:tcPr>
          <w:p w:rsidR="002F236D" w:rsidRDefault="002F236D" w:rsidP="002F236D">
            <w:pPr>
              <w:widowControl w:val="0"/>
              <w:autoSpaceDE w:val="0"/>
              <w:autoSpaceDN w:val="0"/>
              <w:adjustRightInd w:val="0"/>
              <w:ind w:left="-108" w:right="-113"/>
              <w:jc w:val="center"/>
            </w:pPr>
          </w:p>
        </w:tc>
        <w:tc>
          <w:tcPr>
            <w:tcW w:w="810" w:type="dxa"/>
          </w:tcPr>
          <w:p w:rsidR="002F236D" w:rsidRPr="002F236D" w:rsidRDefault="002F236D" w:rsidP="00E823CB">
            <w:pPr>
              <w:widowControl w:val="0"/>
              <w:autoSpaceDE w:val="0"/>
              <w:autoSpaceDN w:val="0"/>
              <w:adjustRightInd w:val="0"/>
              <w:ind w:left="601" w:right="-2217"/>
              <w:rPr>
                <w:i/>
                <w:iCs/>
                <w:sz w:val="20"/>
                <w:szCs w:val="20"/>
                <w:vertAlign w:val="superscript"/>
              </w:rPr>
            </w:pPr>
            <w:r w:rsidRPr="002F236D">
              <w:rPr>
                <w:i/>
                <w:iCs/>
                <w:sz w:val="20"/>
                <w:szCs w:val="20"/>
                <w:vertAlign w:val="superscript"/>
              </w:rPr>
              <w:t>a</w:t>
            </w:r>
          </w:p>
        </w:tc>
      </w:tr>
    </w:tbl>
    <w:p w:rsidR="001676D8" w:rsidRDefault="001676D8" w:rsidP="001676D8">
      <w:pPr>
        <w:widowControl w:val="0"/>
        <w:autoSpaceDE w:val="0"/>
        <w:autoSpaceDN w:val="0"/>
        <w:adjustRightInd w:val="0"/>
        <w:ind w:left="1440" w:hanging="720"/>
      </w:pPr>
    </w:p>
    <w:p w:rsidR="001676D8" w:rsidRDefault="001676D8" w:rsidP="00334267">
      <w:pPr>
        <w:widowControl w:val="0"/>
        <w:autoSpaceDE w:val="0"/>
        <w:autoSpaceDN w:val="0"/>
        <w:adjustRightInd w:val="0"/>
        <w:ind w:left="2166" w:hanging="24"/>
      </w:pPr>
      <w:r>
        <w:t xml:space="preserve">where: </w:t>
      </w:r>
    </w:p>
    <w:p w:rsidR="002F236D" w:rsidRDefault="002F236D" w:rsidP="002F236D">
      <w:pPr>
        <w:widowControl w:val="0"/>
        <w:autoSpaceDE w:val="0"/>
        <w:autoSpaceDN w:val="0"/>
        <w:adjustRightInd w:val="0"/>
        <w:ind w:left="1482" w:hanging="24"/>
      </w:pPr>
    </w:p>
    <w:p w:rsidR="002F236D" w:rsidRPr="002F236D" w:rsidRDefault="002F236D" w:rsidP="00334267">
      <w:pPr>
        <w:widowControl w:val="0"/>
        <w:autoSpaceDE w:val="0"/>
        <w:autoSpaceDN w:val="0"/>
        <w:adjustRightInd w:val="0"/>
        <w:ind w:left="3591" w:hanging="9"/>
      </w:pPr>
      <w:r>
        <w:t>W</w:t>
      </w:r>
      <w:r>
        <w:rPr>
          <w:vertAlign w:val="subscript"/>
        </w:rPr>
        <w:t>ave</w:t>
      </w:r>
      <w:r>
        <w:t xml:space="preserve"> = Weighted Average</w:t>
      </w:r>
    </w:p>
    <w:p w:rsidR="002F236D" w:rsidRDefault="002F236D" w:rsidP="002F236D">
      <w:pPr>
        <w:widowControl w:val="0"/>
        <w:autoSpaceDE w:val="0"/>
        <w:autoSpaceDN w:val="0"/>
        <w:adjustRightInd w:val="0"/>
        <w:ind w:left="1482" w:hanging="24"/>
      </w:pPr>
    </w:p>
    <w:tbl>
      <w:tblPr>
        <w:tblW w:w="6663" w:type="dxa"/>
        <w:tblInd w:w="2907" w:type="dxa"/>
        <w:tblLook w:val="0000" w:firstRow="0" w:lastRow="0" w:firstColumn="0" w:lastColumn="0" w:noHBand="0" w:noVBand="0"/>
      </w:tblPr>
      <w:tblGrid>
        <w:gridCol w:w="1469"/>
        <w:gridCol w:w="352"/>
        <w:gridCol w:w="4842"/>
      </w:tblGrid>
      <w:tr w:rsidR="00334267">
        <w:tblPrEx>
          <w:tblCellMar>
            <w:top w:w="0" w:type="dxa"/>
            <w:bottom w:w="0" w:type="dxa"/>
          </w:tblCellMar>
        </w:tblPrEx>
        <w:trPr>
          <w:trHeight w:val="1278"/>
        </w:trPr>
        <w:tc>
          <w:tcPr>
            <w:tcW w:w="1469" w:type="dxa"/>
          </w:tcPr>
          <w:p w:rsidR="00334267" w:rsidRPr="00334267" w:rsidRDefault="00334267" w:rsidP="00334267">
            <w:pPr>
              <w:widowControl w:val="0"/>
              <w:autoSpaceDE w:val="0"/>
              <w:autoSpaceDN w:val="0"/>
              <w:adjustRightInd w:val="0"/>
              <w:rPr>
                <w:vertAlign w:val="subscript"/>
              </w:rPr>
            </w:pPr>
            <w:r>
              <w:t>x</w:t>
            </w:r>
            <w:r>
              <w:rPr>
                <w:vertAlign w:val="subscript"/>
              </w:rPr>
              <w:t xml:space="preserve">1 </w:t>
            </w:r>
            <w:r>
              <w:t xml:space="preserve">through </w:t>
            </w:r>
            <w:proofErr w:type="spellStart"/>
            <w:r>
              <w:t>x</w:t>
            </w:r>
            <w:r>
              <w:rPr>
                <w:vertAlign w:val="subscript"/>
              </w:rPr>
              <w:t>a</w:t>
            </w:r>
            <w:proofErr w:type="spellEnd"/>
          </w:p>
        </w:tc>
        <w:tc>
          <w:tcPr>
            <w:tcW w:w="352" w:type="dxa"/>
          </w:tcPr>
          <w:p w:rsidR="00334267" w:rsidRDefault="00334267" w:rsidP="00334267">
            <w:pPr>
              <w:widowControl w:val="0"/>
              <w:autoSpaceDE w:val="0"/>
              <w:autoSpaceDN w:val="0"/>
              <w:adjustRightInd w:val="0"/>
            </w:pPr>
            <w:r>
              <w:t>=</w:t>
            </w:r>
          </w:p>
        </w:tc>
        <w:tc>
          <w:tcPr>
            <w:tcW w:w="4842" w:type="dxa"/>
          </w:tcPr>
          <w:p w:rsidR="00334267" w:rsidRDefault="00334267" w:rsidP="00334267">
            <w:pPr>
              <w:widowControl w:val="0"/>
              <w:autoSpaceDE w:val="0"/>
              <w:autoSpaceDN w:val="0"/>
              <w:adjustRightInd w:val="0"/>
            </w:pPr>
            <w:r>
              <w:t>Concentration of each individual contaminant at the location of concern. Note that, depending on the target organ/mode of action, the actual number of contaminants will range from 2 to 14.</w:t>
            </w:r>
          </w:p>
        </w:tc>
      </w:tr>
      <w:tr w:rsidR="00334267">
        <w:tblPrEx>
          <w:tblCellMar>
            <w:top w:w="0" w:type="dxa"/>
            <w:bottom w:w="0" w:type="dxa"/>
          </w:tblCellMar>
        </w:tblPrEx>
        <w:trPr>
          <w:trHeight w:val="278"/>
        </w:trPr>
        <w:tc>
          <w:tcPr>
            <w:tcW w:w="1469" w:type="dxa"/>
            <w:vAlign w:val="bottom"/>
          </w:tcPr>
          <w:p w:rsidR="00334267" w:rsidRPr="00334267" w:rsidRDefault="00334267" w:rsidP="00334267">
            <w:pPr>
              <w:widowControl w:val="0"/>
              <w:autoSpaceDE w:val="0"/>
              <w:autoSpaceDN w:val="0"/>
              <w:adjustRightInd w:val="0"/>
              <w:rPr>
                <w:vertAlign w:val="subscript"/>
              </w:rPr>
            </w:pPr>
            <w:proofErr w:type="spellStart"/>
            <w:r>
              <w:t>CUO</w:t>
            </w:r>
            <w:r>
              <w:rPr>
                <w:vertAlign w:val="subscript"/>
              </w:rPr>
              <w:t>x</w:t>
            </w:r>
            <w:proofErr w:type="spellEnd"/>
          </w:p>
        </w:tc>
        <w:tc>
          <w:tcPr>
            <w:tcW w:w="352" w:type="dxa"/>
            <w:vMerge w:val="restart"/>
          </w:tcPr>
          <w:p w:rsidR="00334267" w:rsidRDefault="00334267" w:rsidP="00334267">
            <w:pPr>
              <w:widowControl w:val="0"/>
              <w:autoSpaceDE w:val="0"/>
              <w:autoSpaceDN w:val="0"/>
              <w:adjustRightInd w:val="0"/>
            </w:pPr>
            <w:r>
              <w:t>=</w:t>
            </w:r>
          </w:p>
        </w:tc>
        <w:tc>
          <w:tcPr>
            <w:tcW w:w="4842" w:type="dxa"/>
            <w:vMerge w:val="restart"/>
          </w:tcPr>
          <w:p w:rsidR="00334267" w:rsidRPr="00334267" w:rsidRDefault="00334267" w:rsidP="00334267">
            <w:pPr>
              <w:widowControl w:val="0"/>
              <w:autoSpaceDE w:val="0"/>
              <w:autoSpaceDN w:val="0"/>
              <w:adjustRightInd w:val="0"/>
            </w:pPr>
            <w:r>
              <w:t>A Tier 2 numeral remediation objecti</w:t>
            </w:r>
            <w:r w:rsidR="0068723F">
              <w:t>ve</w:t>
            </w:r>
            <w:r>
              <w:t xml:space="preserve"> must be developed for each </w:t>
            </w:r>
            <w:proofErr w:type="spellStart"/>
            <w:r>
              <w:t>x</w:t>
            </w:r>
            <w:r>
              <w:rPr>
                <w:vertAlign w:val="subscript"/>
              </w:rPr>
              <w:t>a</w:t>
            </w:r>
            <w:proofErr w:type="spellEnd"/>
            <w:r>
              <w:t>.</w:t>
            </w:r>
          </w:p>
        </w:tc>
      </w:tr>
      <w:tr w:rsidR="00334267">
        <w:tblPrEx>
          <w:tblCellMar>
            <w:top w:w="0" w:type="dxa"/>
            <w:bottom w:w="0" w:type="dxa"/>
          </w:tblCellMar>
        </w:tblPrEx>
        <w:trPr>
          <w:trHeight w:val="278"/>
        </w:trPr>
        <w:tc>
          <w:tcPr>
            <w:tcW w:w="1469" w:type="dxa"/>
          </w:tcPr>
          <w:p w:rsidR="00334267" w:rsidRDefault="00334267" w:rsidP="00334267">
            <w:pPr>
              <w:widowControl w:val="0"/>
              <w:autoSpaceDE w:val="0"/>
              <w:autoSpaceDN w:val="0"/>
              <w:adjustRightInd w:val="0"/>
              <w:ind w:left="624" w:right="-1717"/>
            </w:pPr>
            <w:r w:rsidRPr="00334267">
              <w:rPr>
                <w:sz w:val="20"/>
                <w:szCs w:val="20"/>
                <w:vertAlign w:val="superscript"/>
              </w:rPr>
              <w:t>a</w:t>
            </w:r>
          </w:p>
        </w:tc>
        <w:tc>
          <w:tcPr>
            <w:tcW w:w="352" w:type="dxa"/>
            <w:vMerge/>
          </w:tcPr>
          <w:p w:rsidR="00334267" w:rsidRDefault="00334267" w:rsidP="00334267">
            <w:pPr>
              <w:widowControl w:val="0"/>
              <w:autoSpaceDE w:val="0"/>
              <w:autoSpaceDN w:val="0"/>
              <w:adjustRightInd w:val="0"/>
            </w:pPr>
          </w:p>
        </w:tc>
        <w:tc>
          <w:tcPr>
            <w:tcW w:w="4842" w:type="dxa"/>
            <w:vMerge/>
          </w:tcPr>
          <w:p w:rsidR="00334267" w:rsidRDefault="00334267" w:rsidP="00334267">
            <w:pPr>
              <w:widowControl w:val="0"/>
              <w:autoSpaceDE w:val="0"/>
              <w:autoSpaceDN w:val="0"/>
              <w:adjustRightInd w:val="0"/>
            </w:pPr>
          </w:p>
        </w:tc>
      </w:tr>
    </w:tbl>
    <w:p w:rsidR="001676D8" w:rsidRDefault="001676D8" w:rsidP="00334267">
      <w:pPr>
        <w:widowControl w:val="0"/>
        <w:autoSpaceDE w:val="0"/>
        <w:autoSpaceDN w:val="0"/>
        <w:adjustRightInd w:val="0"/>
        <w:ind w:left="2088" w:hanging="6"/>
      </w:pPr>
    </w:p>
    <w:p w:rsidR="001676D8" w:rsidRDefault="001676D8" w:rsidP="00334267">
      <w:pPr>
        <w:widowControl w:val="0"/>
        <w:autoSpaceDE w:val="0"/>
        <w:autoSpaceDN w:val="0"/>
        <w:adjustRightInd w:val="0"/>
        <w:ind w:left="2166" w:firstLine="6"/>
      </w:pPr>
      <w:r>
        <w:t xml:space="preserve">If the value of the weighted average calculated in accordance with the equations above is less than or equal to 1.0, then the remediation objectives are met for those chemicals. </w:t>
      </w:r>
    </w:p>
    <w:p w:rsidR="001676D8" w:rsidRDefault="001676D8" w:rsidP="00334267">
      <w:pPr>
        <w:widowControl w:val="0"/>
        <w:autoSpaceDE w:val="0"/>
        <w:autoSpaceDN w:val="0"/>
        <w:adjustRightInd w:val="0"/>
        <w:ind w:left="2166" w:hanging="720"/>
      </w:pPr>
    </w:p>
    <w:p w:rsidR="001676D8" w:rsidRDefault="001676D8" w:rsidP="00334267">
      <w:pPr>
        <w:widowControl w:val="0"/>
        <w:autoSpaceDE w:val="0"/>
        <w:autoSpaceDN w:val="0"/>
        <w:adjustRightInd w:val="0"/>
        <w:ind w:left="2166" w:hanging="6"/>
      </w:pPr>
      <w:r>
        <w:t xml:space="preserve">If the value of the weighted average calculated in accordance with the equations above is greater than 1.0, then additional remediation must be carried out until the level of contaminants remaining in the remediated area has a weighted average calculated in accordance with the equation above less than or equal to one. </w:t>
      </w:r>
    </w:p>
    <w:p w:rsidR="001676D8" w:rsidRDefault="001676D8" w:rsidP="001676D8">
      <w:pPr>
        <w:widowControl w:val="0"/>
        <w:autoSpaceDE w:val="0"/>
        <w:autoSpaceDN w:val="0"/>
        <w:adjustRightInd w:val="0"/>
        <w:ind w:left="2880" w:hanging="720"/>
      </w:pPr>
    </w:p>
    <w:p w:rsidR="001676D8" w:rsidRDefault="001676D8" w:rsidP="001676D8">
      <w:pPr>
        <w:widowControl w:val="0"/>
        <w:autoSpaceDE w:val="0"/>
        <w:autoSpaceDN w:val="0"/>
        <w:adjustRightInd w:val="0"/>
        <w:ind w:left="1440" w:hanging="720"/>
      </w:pPr>
      <w:r>
        <w:t>b)</w:t>
      </w:r>
      <w:r>
        <w:tab/>
        <w:t xml:space="preserve">Divide each individual chemical's remediation objective by the number of chemicals in that specific target organ group that were detected at the site. Each of the contaminant concentrations at the site is then compared to the remediation objectives that have been adjusted to account for this potential </w:t>
      </w:r>
      <w:proofErr w:type="spellStart"/>
      <w:r>
        <w:t>additivity</w:t>
      </w:r>
      <w:proofErr w:type="spellEnd"/>
      <w:r>
        <w:t xml:space="preserve">.  For the </w:t>
      </w:r>
      <w:proofErr w:type="spellStart"/>
      <w:r>
        <w:t>noncarcinogenic</w:t>
      </w:r>
      <w:proofErr w:type="spellEnd"/>
      <w:r>
        <w:t xml:space="preserve"> contaminants listed in Appendix A, Table E, a respective soil remediation objective need be no lower than the respective value listed in Appendix B, Table A or B. </w:t>
      </w:r>
    </w:p>
    <w:sectPr w:rsidR="001676D8" w:rsidSect="001676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76D8"/>
    <w:rsid w:val="0015355D"/>
    <w:rsid w:val="001676D8"/>
    <w:rsid w:val="002F236D"/>
    <w:rsid w:val="00334267"/>
    <w:rsid w:val="005C3366"/>
    <w:rsid w:val="0068723F"/>
    <w:rsid w:val="008F7D9F"/>
    <w:rsid w:val="00C108CA"/>
    <w:rsid w:val="00E823CB"/>
    <w:rsid w:val="00FE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