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C9" w:rsidRPr="000F60C9" w:rsidRDefault="000F60C9" w:rsidP="00114EAC">
      <w:pPr>
        <w:rPr>
          <w:rFonts w:eastAsia="Calibri"/>
          <w:b/>
        </w:rPr>
      </w:pPr>
    </w:p>
    <w:p w:rsidR="00114EAC" w:rsidRPr="000F60C9" w:rsidRDefault="00114EAC" w:rsidP="00114EAC">
      <w:pPr>
        <w:rPr>
          <w:rFonts w:eastAsia="Calibri"/>
          <w:b/>
        </w:rPr>
      </w:pPr>
      <w:r w:rsidRPr="000F60C9">
        <w:rPr>
          <w:rFonts w:eastAsia="Calibri"/>
          <w:b/>
        </w:rPr>
        <w:t xml:space="preserve">Section 742.515  Tier 1 Remediation Objectives Tables for the Indoor </w:t>
      </w:r>
      <w:smartTag w:uri="urn:schemas-microsoft-com:office:smarttags" w:element="Street">
        <w:smartTag w:uri="urn:schemas-microsoft-com:office:smarttags" w:element="address">
          <w:r w:rsidRPr="000F60C9">
            <w:rPr>
              <w:rFonts w:eastAsia="Calibri"/>
              <w:b/>
            </w:rPr>
            <w:t>Inhalation Exposure Route</w:t>
          </w:r>
        </w:smartTag>
      </w:smartTag>
    </w:p>
    <w:p w:rsidR="00114EAC" w:rsidRDefault="00114EAC" w:rsidP="00654823">
      <w:pPr>
        <w:rPr>
          <w:rFonts w:eastAsia="Calibri"/>
        </w:rPr>
      </w:pPr>
    </w:p>
    <w:p w:rsidR="00654823" w:rsidRDefault="00654823" w:rsidP="00654823">
      <w:pPr>
        <w:rPr>
          <w:rFonts w:eastAsia="Calibri"/>
        </w:rPr>
      </w:pPr>
      <w:r>
        <w:rPr>
          <w:rFonts w:eastAsia="Calibri"/>
        </w:rPr>
        <w:tab/>
        <w:t>a)</w:t>
      </w:r>
      <w:r>
        <w:rPr>
          <w:rFonts w:eastAsia="Calibri"/>
        </w:rPr>
        <w:tab/>
        <w:t>For the indoor inhalation exposure route:</w:t>
      </w:r>
    </w:p>
    <w:p w:rsidR="00654823" w:rsidRDefault="00654823" w:rsidP="00654823">
      <w:pPr>
        <w:rPr>
          <w:rFonts w:eastAsia="Calibri"/>
        </w:rPr>
      </w:pPr>
    </w:p>
    <w:p w:rsidR="00654823" w:rsidRDefault="00654823" w:rsidP="00654823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>Appendix B, Tables H and I apply only when the existing or potential build</w:t>
      </w:r>
      <w:r w:rsidR="00BA3081">
        <w:rPr>
          <w:rFonts w:eastAsia="Calibri"/>
        </w:rPr>
        <w:t>i</w:t>
      </w:r>
      <w:r>
        <w:rPr>
          <w:rFonts w:eastAsia="Calibri"/>
        </w:rPr>
        <w:t>ng has a full concrete slab-on-grade or a full concrete basement floor and walls; and</w:t>
      </w:r>
    </w:p>
    <w:p w:rsidR="00654823" w:rsidRDefault="00654823" w:rsidP="00654823">
      <w:pPr>
        <w:rPr>
          <w:rFonts w:eastAsia="Calibri"/>
        </w:rPr>
      </w:pPr>
    </w:p>
    <w:p w:rsidR="00654823" w:rsidRDefault="00654823" w:rsidP="00654823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  <w:t>Institutional controls under Subpart J are required to use remediation objectives in Appendix B, Table H or Table I.</w:t>
      </w:r>
    </w:p>
    <w:p w:rsidR="00654823" w:rsidRPr="00654823" w:rsidRDefault="00654823" w:rsidP="00654823">
      <w:pPr>
        <w:rPr>
          <w:rFonts w:eastAsia="Calibri"/>
        </w:rPr>
      </w:pPr>
    </w:p>
    <w:p w:rsidR="00114EAC" w:rsidRPr="000F60C9" w:rsidRDefault="00654823" w:rsidP="00114EAC">
      <w:pPr>
        <w:ind w:left="1440" w:hanging="720"/>
        <w:contextualSpacing/>
        <w:rPr>
          <w:rFonts w:eastAsia="Calibri"/>
        </w:rPr>
      </w:pPr>
      <w:r>
        <w:rPr>
          <w:rFonts w:eastAsia="Calibri"/>
        </w:rPr>
        <w:t>b</w:t>
      </w:r>
      <w:r w:rsidR="00114EAC" w:rsidRPr="000F60C9">
        <w:rPr>
          <w:rFonts w:eastAsia="Calibri"/>
        </w:rPr>
        <w:t>)</w:t>
      </w:r>
      <w:r w:rsidR="000F60C9">
        <w:rPr>
          <w:rFonts w:eastAsia="Calibri"/>
        </w:rPr>
        <w:tab/>
      </w:r>
      <w:r w:rsidR="00114EAC" w:rsidRPr="000F60C9">
        <w:rPr>
          <w:rFonts w:eastAsia="Calibri"/>
        </w:rPr>
        <w:t>When the mode of contaminant transport is both diffusion and advection as described in Section 742.505 (i.e.,</w:t>
      </w:r>
      <w:r>
        <w:rPr>
          <w:rFonts w:eastAsia="Calibri"/>
        </w:rPr>
        <w:t xml:space="preserve"> any</w:t>
      </w:r>
      <w:r w:rsidR="00114EAC" w:rsidRPr="000F60C9">
        <w:rPr>
          <w:rFonts w:eastAsia="Calibri"/>
        </w:rPr>
        <w:t xml:space="preserve"> soil or groundwater contamination is </w:t>
      </w:r>
      <w:r>
        <w:rPr>
          <w:rFonts w:eastAsia="Calibri"/>
        </w:rPr>
        <w:t>located</w:t>
      </w:r>
      <w:r w:rsidR="00114EAC" w:rsidRPr="000F60C9">
        <w:rPr>
          <w:rFonts w:eastAsia="Calibri"/>
        </w:rPr>
        <w:t xml:space="preserve"> 5 feet </w:t>
      </w:r>
      <w:r>
        <w:rPr>
          <w:rFonts w:eastAsia="Calibri"/>
        </w:rPr>
        <w:t>or less, vertically or horizontally, from the</w:t>
      </w:r>
      <w:r w:rsidR="00114EAC" w:rsidRPr="000F60C9">
        <w:rPr>
          <w:rFonts w:eastAsia="Calibri"/>
        </w:rPr>
        <w:t xml:space="preserve"> existing or potential building or man-made pathway), the remediation objectives for soil gas </w:t>
      </w:r>
      <w:r w:rsidR="00ED017A">
        <w:rPr>
          <w:rFonts w:eastAsia="Calibri"/>
        </w:rPr>
        <w:t xml:space="preserve">or </w:t>
      </w:r>
      <w:r w:rsidR="00114EAC" w:rsidRPr="000F60C9">
        <w:rPr>
          <w:rFonts w:eastAsia="Calibri"/>
        </w:rPr>
        <w:t>groundwater listed in Appendix B, Table H shall be used.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1)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first column to the right of the chemical name lists the soil gas remediation objectives for residential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2)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second column lists the soil gas remediation objectives for industrial/commercial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3)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third column lists the groundwater remediation objectives for residential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4)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fourth column lists the groundwater remediation objectives for industrial/commercial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654823" w:rsidP="00114EAC">
      <w:pPr>
        <w:ind w:left="1440" w:hanging="720"/>
        <w:contextualSpacing/>
        <w:rPr>
          <w:rFonts w:eastAsia="Calibri"/>
        </w:rPr>
      </w:pPr>
      <w:r>
        <w:rPr>
          <w:rFonts w:eastAsia="Calibri"/>
        </w:rPr>
        <w:t>c</w:t>
      </w:r>
      <w:r w:rsidR="00114EAC" w:rsidRPr="000F60C9">
        <w:rPr>
          <w:rFonts w:eastAsia="Calibri"/>
        </w:rPr>
        <w:t>)</w:t>
      </w:r>
      <w:r w:rsidR="000F60C9">
        <w:rPr>
          <w:rFonts w:eastAsia="Calibri"/>
        </w:rPr>
        <w:tab/>
      </w:r>
      <w:r w:rsidR="00ED017A">
        <w:rPr>
          <w:rFonts w:eastAsia="Calibri"/>
        </w:rPr>
        <w:t>Only w</w:t>
      </w:r>
      <w:r w:rsidR="00114EAC" w:rsidRPr="000F60C9">
        <w:rPr>
          <w:rFonts w:eastAsia="Calibri"/>
        </w:rPr>
        <w:t xml:space="preserve">hen the mode of contaminant transport is diffusion only as described in Section 742.505 (i.e., </w:t>
      </w:r>
      <w:r>
        <w:rPr>
          <w:rFonts w:eastAsia="Calibri"/>
        </w:rPr>
        <w:t xml:space="preserve">all </w:t>
      </w:r>
      <w:r w:rsidR="00114EAC" w:rsidRPr="000F60C9">
        <w:rPr>
          <w:rFonts w:eastAsia="Calibri"/>
        </w:rPr>
        <w:t xml:space="preserve">soil and groundwater contamination </w:t>
      </w:r>
      <w:r>
        <w:rPr>
          <w:rFonts w:eastAsia="Calibri"/>
        </w:rPr>
        <w:t>is located</w:t>
      </w:r>
      <w:r w:rsidR="00114EAC" w:rsidRPr="000F60C9">
        <w:rPr>
          <w:rFonts w:eastAsia="Calibri"/>
        </w:rPr>
        <w:t xml:space="preserve"> more than 5 feet</w:t>
      </w:r>
      <w:r>
        <w:rPr>
          <w:rFonts w:eastAsia="Calibri"/>
        </w:rPr>
        <w:t>, vertically and horizontally</w:t>
      </w:r>
      <w:r w:rsidR="00593252">
        <w:rPr>
          <w:rFonts w:eastAsia="Calibri"/>
        </w:rPr>
        <w:t>,</w:t>
      </w:r>
      <w:r>
        <w:rPr>
          <w:rFonts w:eastAsia="Calibri"/>
        </w:rPr>
        <w:t xml:space="preserve"> from the</w:t>
      </w:r>
      <w:r w:rsidR="00114EAC" w:rsidRPr="000F60C9">
        <w:rPr>
          <w:rFonts w:eastAsia="Calibri"/>
        </w:rPr>
        <w:t xml:space="preserve"> existing or potential building or man-made pathway), the remediation objectives for soil gas and groundwater listed in Appendix B, Table I </w:t>
      </w:r>
      <w:r>
        <w:rPr>
          <w:rFonts w:eastAsia="Calibri"/>
        </w:rPr>
        <w:t xml:space="preserve">may </w:t>
      </w:r>
      <w:r w:rsidR="00114EAC" w:rsidRPr="000F60C9">
        <w:rPr>
          <w:rFonts w:eastAsia="Calibri"/>
        </w:rPr>
        <w:t>be used.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1)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first column to the right of the chemical name lists the soil gas remediation objectives for residential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2)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second column lists the soil gas remediation objectives for industrial/commercial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t>3)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third column lists the groundwater remediation objectives for residential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114EAC" w:rsidP="00114EAC">
      <w:pPr>
        <w:ind w:left="2160" w:hanging="720"/>
        <w:contextualSpacing/>
        <w:rPr>
          <w:rFonts w:eastAsia="Calibri"/>
        </w:rPr>
      </w:pPr>
      <w:r w:rsidRPr="000F60C9">
        <w:rPr>
          <w:rFonts w:eastAsia="Calibri"/>
        </w:rPr>
        <w:lastRenderedPageBreak/>
        <w:t>4)</w:t>
      </w:r>
      <w:r w:rsidR="000F60C9">
        <w:rPr>
          <w:rFonts w:eastAsia="Calibri"/>
        </w:rPr>
        <w:tab/>
      </w:r>
      <w:r w:rsidRPr="000F60C9">
        <w:rPr>
          <w:rFonts w:eastAsia="Calibri"/>
        </w:rPr>
        <w:t>The fourth column lists the groundwater remediation objectives for industrial/commercial receptors.</w:t>
      </w:r>
    </w:p>
    <w:p w:rsidR="00114EAC" w:rsidRPr="000F60C9" w:rsidRDefault="00114EAC" w:rsidP="00114EAC">
      <w:pPr>
        <w:contextualSpacing/>
        <w:rPr>
          <w:rFonts w:eastAsia="Calibri"/>
        </w:rPr>
      </w:pPr>
    </w:p>
    <w:p w:rsidR="00114EAC" w:rsidRPr="000F60C9" w:rsidRDefault="00654823" w:rsidP="00114EAC">
      <w:pPr>
        <w:ind w:left="1440" w:hanging="720"/>
        <w:rPr>
          <w:rFonts w:ascii="Times New (W1)" w:hAnsi="Times New (W1)"/>
        </w:rPr>
      </w:pPr>
      <w:r>
        <w:rPr>
          <w:rFonts w:ascii="Times New (W1)" w:hAnsi="Times New (W1)"/>
        </w:rPr>
        <w:t>d</w:t>
      </w:r>
      <w:r w:rsidR="00114EAC" w:rsidRPr="000F60C9">
        <w:rPr>
          <w:rFonts w:ascii="Times New (W1)" w:hAnsi="Times New (W1)"/>
        </w:rPr>
        <w:t>)</w:t>
      </w:r>
      <w:r w:rsidR="000F60C9">
        <w:rPr>
          <w:rFonts w:ascii="Times New (W1)" w:hAnsi="Times New (W1)"/>
        </w:rPr>
        <w:tab/>
      </w:r>
      <w:r w:rsidR="00114EAC" w:rsidRPr="000F60C9">
        <w:rPr>
          <w:rFonts w:ascii="Times New (W1)" w:hAnsi="Times New (W1)"/>
        </w:rPr>
        <w:t>If using Appendix B, Table H, compliance is determined by meeting either the soil gas remediation objectives or the groundwater remediation objectives.</w:t>
      </w:r>
    </w:p>
    <w:p w:rsidR="00114EAC" w:rsidRPr="000F60C9" w:rsidRDefault="00114EAC" w:rsidP="00114EAC">
      <w:pPr>
        <w:pStyle w:val="ListParagraph"/>
        <w:ind w:left="0"/>
        <w:rPr>
          <w:rFonts w:ascii="Times New (W1)" w:hAnsi="Times New (W1)"/>
        </w:rPr>
      </w:pPr>
    </w:p>
    <w:p w:rsidR="00114EAC" w:rsidRPr="000F60C9" w:rsidRDefault="00654823" w:rsidP="00114EAC">
      <w:pPr>
        <w:pStyle w:val="ListParagraph"/>
        <w:ind w:left="1440" w:hanging="720"/>
        <w:rPr>
          <w:rFonts w:ascii="Times New (W1)" w:hAnsi="Times New (W1)"/>
        </w:rPr>
      </w:pPr>
      <w:r>
        <w:rPr>
          <w:rFonts w:ascii="Times New (W1)" w:hAnsi="Times New (W1)"/>
        </w:rPr>
        <w:t>e</w:t>
      </w:r>
      <w:r w:rsidR="00114EAC" w:rsidRPr="000F60C9">
        <w:rPr>
          <w:rFonts w:ascii="Times New (W1)" w:hAnsi="Times New (W1)"/>
        </w:rPr>
        <w:t>)</w:t>
      </w:r>
      <w:r w:rsidR="000F60C9">
        <w:rPr>
          <w:rFonts w:ascii="Times New (W1)" w:hAnsi="Times New (W1)"/>
        </w:rPr>
        <w:tab/>
      </w:r>
      <w:r w:rsidR="00114EAC" w:rsidRPr="000F60C9">
        <w:rPr>
          <w:rFonts w:ascii="Times New (W1)" w:hAnsi="Times New (W1)"/>
        </w:rPr>
        <w:t>If using Appendix B, Table I, compliance is determined by meeting both the soil gas remediation objectives and the groundwater remediation objectives.</w:t>
      </w:r>
    </w:p>
    <w:p w:rsidR="00114EAC" w:rsidRPr="000F60C9" w:rsidRDefault="00114EAC" w:rsidP="00114EAC">
      <w:pPr>
        <w:rPr>
          <w:rFonts w:ascii="Times New (W1)" w:hAnsi="Times New (W1)"/>
        </w:rPr>
      </w:pPr>
    </w:p>
    <w:p w:rsidR="00114EAC" w:rsidRPr="000F60C9" w:rsidRDefault="00654823" w:rsidP="00114EAC">
      <w:pPr>
        <w:ind w:left="1440" w:hanging="720"/>
        <w:rPr>
          <w:rFonts w:ascii="Times New (W1)" w:hAnsi="Times New (W1)"/>
        </w:rPr>
      </w:pPr>
      <w:r>
        <w:rPr>
          <w:rFonts w:ascii="Times New (W1)" w:hAnsi="Times New (W1)"/>
        </w:rPr>
        <w:t>f</w:t>
      </w:r>
      <w:r w:rsidR="00114EAC" w:rsidRPr="000F60C9">
        <w:rPr>
          <w:rFonts w:ascii="Times New (W1)" w:hAnsi="Times New (W1)"/>
        </w:rPr>
        <w:t>)</w:t>
      </w:r>
      <w:r w:rsidR="000F60C9">
        <w:rPr>
          <w:rFonts w:ascii="Times New (W1)" w:hAnsi="Times New (W1)"/>
        </w:rPr>
        <w:tab/>
      </w:r>
      <w:r w:rsidR="00114EAC" w:rsidRPr="000F60C9">
        <w:rPr>
          <w:rFonts w:ascii="Times New (W1)" w:hAnsi="Times New (W1)"/>
        </w:rPr>
        <w:t>For volatile chemicals not listed in Appendix B, Table H or I, a person may request site-specific remediation objectives from the Agency or propose site-specific remediation objectives in accordance with Subpart I, or both.</w:t>
      </w:r>
    </w:p>
    <w:p w:rsidR="00114EAC" w:rsidRDefault="00114EAC" w:rsidP="00114EAC"/>
    <w:p w:rsidR="00F01BDF" w:rsidRDefault="00F01BDF" w:rsidP="00F01BDF">
      <w:pPr>
        <w:ind w:left="1440" w:hanging="720"/>
      </w:pPr>
      <w:r>
        <w:t>g)</w:t>
      </w:r>
      <w:r>
        <w:tab/>
        <w:t>As an alternative to using Appendix B, Table I pursuant to subsection (c), it is permissible to use Appendix B, Table H pursuant to subsection (b)</w:t>
      </w:r>
      <w:r w:rsidR="00ED017A">
        <w:t>.</w:t>
      </w:r>
    </w:p>
    <w:p w:rsidR="00F01BDF" w:rsidRPr="000F60C9" w:rsidRDefault="00F01BDF" w:rsidP="00114EAC"/>
    <w:p w:rsidR="001C71C2" w:rsidRPr="000F60C9" w:rsidRDefault="000F60C9" w:rsidP="000F60C9">
      <w:pPr>
        <w:ind w:firstLine="720"/>
      </w:pPr>
      <w:r w:rsidRPr="00D55B37">
        <w:t xml:space="preserve">(Source:  Added at </w:t>
      </w:r>
      <w:r>
        <w:t>3</w:t>
      </w:r>
      <w:r w:rsidR="00654823">
        <w:t>7</w:t>
      </w:r>
      <w:r w:rsidRPr="00D55B37">
        <w:t xml:space="preserve"> Ill. Reg. </w:t>
      </w:r>
      <w:r w:rsidR="00024F6D">
        <w:t>7506</w:t>
      </w:r>
      <w:r w:rsidRPr="00D55B37">
        <w:t xml:space="preserve">, effective </w:t>
      </w:r>
      <w:bookmarkStart w:id="0" w:name="_GoBack"/>
      <w:r w:rsidR="00024F6D">
        <w:t>May 15, 2013</w:t>
      </w:r>
      <w:bookmarkEnd w:id="0"/>
      <w:r w:rsidRPr="00D55B37">
        <w:t>)</w:t>
      </w:r>
    </w:p>
    <w:sectPr w:rsidR="001C71C2" w:rsidRPr="000F60C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57" w:rsidRDefault="00087E57">
      <w:r>
        <w:separator/>
      </w:r>
    </w:p>
  </w:endnote>
  <w:endnote w:type="continuationSeparator" w:id="0">
    <w:p w:rsidR="00087E57" w:rsidRDefault="0008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57" w:rsidRDefault="00087E57">
      <w:r>
        <w:separator/>
      </w:r>
    </w:p>
  </w:footnote>
  <w:footnote w:type="continuationSeparator" w:id="0">
    <w:p w:rsidR="00087E57" w:rsidRDefault="0008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F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F6D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87E57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0C9"/>
    <w:rsid w:val="000F6AB6"/>
    <w:rsid w:val="000F6C6D"/>
    <w:rsid w:val="00103C24"/>
    <w:rsid w:val="0010504D"/>
    <w:rsid w:val="00110A0B"/>
    <w:rsid w:val="00114190"/>
    <w:rsid w:val="00114EAC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4241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249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A6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252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82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76C8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FD2"/>
    <w:rsid w:val="00897EA5"/>
    <w:rsid w:val="008A46D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308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17A"/>
    <w:rsid w:val="00ED1405"/>
    <w:rsid w:val="00ED1EED"/>
    <w:rsid w:val="00EE2300"/>
    <w:rsid w:val="00EF1651"/>
    <w:rsid w:val="00EF3F71"/>
    <w:rsid w:val="00EF4E57"/>
    <w:rsid w:val="00EF755A"/>
    <w:rsid w:val="00F01BD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6E3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E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14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E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1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