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8F" w:rsidRDefault="004F348F" w:rsidP="004F34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48F" w:rsidRDefault="004F348F" w:rsidP="004F34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739.147  Management of </w:t>
      </w:r>
      <w:r w:rsidR="00593906">
        <w:rPr>
          <w:b/>
          <w:bCs/>
        </w:rPr>
        <w:t>Residues</w:t>
      </w:r>
      <w:r>
        <w:t xml:space="preserve"> </w:t>
      </w:r>
    </w:p>
    <w:p w:rsidR="004F348F" w:rsidRDefault="004F348F" w:rsidP="004F348F">
      <w:pPr>
        <w:widowControl w:val="0"/>
        <w:autoSpaceDE w:val="0"/>
        <w:autoSpaceDN w:val="0"/>
        <w:adjustRightInd w:val="0"/>
      </w:pPr>
    </w:p>
    <w:p w:rsidR="004F348F" w:rsidRDefault="004F348F" w:rsidP="004F348F">
      <w:pPr>
        <w:widowControl w:val="0"/>
        <w:autoSpaceDE w:val="0"/>
        <w:autoSpaceDN w:val="0"/>
        <w:adjustRightInd w:val="0"/>
      </w:pPr>
      <w:r>
        <w:t xml:space="preserve">Transporters who generate residues from the storage or transport of used oil must manage the residues as specified in Section 739.110(e). </w:t>
      </w:r>
    </w:p>
    <w:p w:rsidR="00593906" w:rsidRDefault="00593906" w:rsidP="004F348F">
      <w:pPr>
        <w:widowControl w:val="0"/>
        <w:autoSpaceDE w:val="0"/>
        <w:autoSpaceDN w:val="0"/>
        <w:adjustRightInd w:val="0"/>
      </w:pPr>
    </w:p>
    <w:p w:rsidR="00593906" w:rsidRPr="00D55B37" w:rsidRDefault="005939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E72D17">
        <w:t>10706</w:t>
      </w:r>
      <w:r w:rsidRPr="00D55B37">
        <w:t xml:space="preserve">, effective </w:t>
      </w:r>
      <w:r w:rsidR="00E72D17">
        <w:t>July 19, 2004</w:t>
      </w:r>
      <w:r w:rsidRPr="00D55B37">
        <w:t>)</w:t>
      </w:r>
    </w:p>
    <w:sectPr w:rsidR="00593906" w:rsidRPr="00D55B37" w:rsidSect="004F3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48F"/>
    <w:rsid w:val="000D7243"/>
    <w:rsid w:val="00103B0B"/>
    <w:rsid w:val="004F348F"/>
    <w:rsid w:val="00593906"/>
    <w:rsid w:val="005C3366"/>
    <w:rsid w:val="009E5875"/>
    <w:rsid w:val="00E363EA"/>
    <w:rsid w:val="00E72D1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