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C52" w:rsidRDefault="00DD7C52" w:rsidP="00DD7C52">
      <w:pPr>
        <w:widowControl w:val="0"/>
        <w:autoSpaceDE w:val="0"/>
        <w:autoSpaceDN w:val="0"/>
        <w:adjustRightInd w:val="0"/>
      </w:pPr>
      <w:bookmarkStart w:id="0" w:name="_GoBack"/>
      <w:bookmarkEnd w:id="0"/>
    </w:p>
    <w:p w:rsidR="00DD7C52" w:rsidRDefault="00DD7C52" w:rsidP="00DD7C52">
      <w:pPr>
        <w:widowControl w:val="0"/>
        <w:autoSpaceDE w:val="0"/>
        <w:autoSpaceDN w:val="0"/>
        <w:adjustRightInd w:val="0"/>
      </w:pPr>
      <w:r>
        <w:rPr>
          <w:b/>
          <w:bCs/>
        </w:rPr>
        <w:t xml:space="preserve">Section 739.111  Used </w:t>
      </w:r>
      <w:r w:rsidR="009C7232">
        <w:rPr>
          <w:b/>
          <w:bCs/>
        </w:rPr>
        <w:t>Oil Specifications</w:t>
      </w:r>
      <w:r>
        <w:t xml:space="preserve"> </w:t>
      </w:r>
    </w:p>
    <w:p w:rsidR="00DD7C52" w:rsidRDefault="00DD7C52" w:rsidP="00DD7C52">
      <w:pPr>
        <w:widowControl w:val="0"/>
        <w:autoSpaceDE w:val="0"/>
        <w:autoSpaceDN w:val="0"/>
        <w:adjustRightInd w:val="0"/>
      </w:pPr>
    </w:p>
    <w:p w:rsidR="00DD7C52" w:rsidRDefault="00DD7C52" w:rsidP="00DD7C52">
      <w:pPr>
        <w:widowControl w:val="0"/>
        <w:autoSpaceDE w:val="0"/>
        <w:autoSpaceDN w:val="0"/>
        <w:adjustRightInd w:val="0"/>
      </w:pPr>
      <w:r>
        <w:t xml:space="preserve">Used oil burned for energy recovery, and any fuel produced from used oil by processing, blending, or other treatment, is subject to regulation under this Part unless it is shown not to exceed any of the allowable levels of the constituents and properties shown in </w:t>
      </w:r>
      <w:r w:rsidR="009C7232">
        <w:t>the following table</w:t>
      </w:r>
      <w:r>
        <w:t xml:space="preserve">.  Once used oil that is to be burned for energy recovery has been shown not to exceed any </w:t>
      </w:r>
      <w:r w:rsidR="0071754E">
        <w:t>allowable level</w:t>
      </w:r>
      <w:r>
        <w:t xml:space="preserve"> and the person making that showing complies with Sections 739.172, 739.173, and 739.174(b), the used oil is no longer subject to this Part. </w:t>
      </w:r>
    </w:p>
    <w:p w:rsidR="00DD7C52" w:rsidRDefault="00DD7C52" w:rsidP="00DD7C52">
      <w:pPr>
        <w:widowControl w:val="0"/>
        <w:autoSpaceDE w:val="0"/>
        <w:autoSpaceDN w:val="0"/>
        <w:adjustRightInd w:val="0"/>
      </w:pPr>
    </w:p>
    <w:p w:rsidR="00DD7C52" w:rsidRDefault="00DD7C52" w:rsidP="00DD7C52">
      <w:pPr>
        <w:widowControl w:val="0"/>
        <w:autoSpaceDE w:val="0"/>
        <w:autoSpaceDN w:val="0"/>
        <w:adjustRightInd w:val="0"/>
      </w:pPr>
      <w:r>
        <w:t xml:space="preserve">Used Oil </w:t>
      </w:r>
      <w:r w:rsidR="0071754E">
        <w:t>Allowable</w:t>
      </w:r>
      <w:r>
        <w:t xml:space="preserve"> </w:t>
      </w:r>
      <w:r w:rsidR="009C7232">
        <w:t>Levels</w:t>
      </w:r>
      <w:r>
        <w:t xml:space="preserve"> When Burned for Energy Recovery</w:t>
      </w:r>
      <w:r w:rsidRPr="000E43AE">
        <w:rPr>
          <w:vertAlign w:val="superscript"/>
        </w:rPr>
        <w:t>1</w:t>
      </w:r>
      <w:r>
        <w:t xml:space="preserve"> </w:t>
      </w:r>
    </w:p>
    <w:p w:rsidR="00DD7C52" w:rsidRDefault="00DD7C52" w:rsidP="00DD7C52">
      <w:pPr>
        <w:widowControl w:val="0"/>
        <w:autoSpaceDE w:val="0"/>
        <w:autoSpaceDN w:val="0"/>
        <w:adjustRightInd w:val="0"/>
        <w:rPr>
          <w:u w:val="single"/>
        </w:rPr>
      </w:pPr>
    </w:p>
    <w:tbl>
      <w:tblPr>
        <w:tblW w:w="0" w:type="auto"/>
        <w:tblLook w:val="0000" w:firstRow="0" w:lastRow="0" w:firstColumn="0" w:lastColumn="0" w:noHBand="0" w:noVBand="0"/>
      </w:tblPr>
      <w:tblGrid>
        <w:gridCol w:w="4428"/>
        <w:gridCol w:w="4428"/>
      </w:tblGrid>
      <w:tr w:rsidR="00DD7C52">
        <w:tblPrEx>
          <w:tblCellMar>
            <w:top w:w="0" w:type="dxa"/>
            <w:bottom w:w="0" w:type="dxa"/>
          </w:tblCellMar>
        </w:tblPrEx>
        <w:trPr>
          <w:trHeight w:val="432"/>
        </w:trPr>
        <w:tc>
          <w:tcPr>
            <w:tcW w:w="4428" w:type="dxa"/>
            <w:tcBorders>
              <w:top w:val="single" w:sz="4" w:space="0" w:color="auto"/>
              <w:bottom w:val="single" w:sz="4" w:space="0" w:color="auto"/>
              <w:right w:val="single" w:sz="4" w:space="0" w:color="auto"/>
            </w:tcBorders>
            <w:vAlign w:val="bottom"/>
          </w:tcPr>
          <w:p w:rsidR="00DD7C52" w:rsidRDefault="00DD7C52" w:rsidP="00CC3038">
            <w:pPr>
              <w:widowControl w:val="0"/>
              <w:autoSpaceDE w:val="0"/>
              <w:autoSpaceDN w:val="0"/>
              <w:adjustRightInd w:val="0"/>
            </w:pPr>
            <w:r>
              <w:t>Constituent/property</w:t>
            </w:r>
          </w:p>
        </w:tc>
        <w:tc>
          <w:tcPr>
            <w:tcW w:w="4428" w:type="dxa"/>
            <w:tcBorders>
              <w:top w:val="single" w:sz="4" w:space="0" w:color="auto"/>
              <w:left w:val="single" w:sz="4" w:space="0" w:color="auto"/>
              <w:bottom w:val="single" w:sz="4" w:space="0" w:color="auto"/>
            </w:tcBorders>
            <w:vAlign w:val="bottom"/>
          </w:tcPr>
          <w:p w:rsidR="00DD7C52" w:rsidRDefault="00DD7C52" w:rsidP="00CC3038">
            <w:pPr>
              <w:widowControl w:val="0"/>
              <w:autoSpaceDE w:val="0"/>
              <w:autoSpaceDN w:val="0"/>
              <w:adjustRightInd w:val="0"/>
            </w:pPr>
            <w:r>
              <w:t>Allowable level</w:t>
            </w:r>
          </w:p>
        </w:tc>
      </w:tr>
      <w:tr w:rsidR="00DD7C52">
        <w:tblPrEx>
          <w:tblCellMar>
            <w:top w:w="0" w:type="dxa"/>
            <w:bottom w:w="0" w:type="dxa"/>
          </w:tblCellMar>
        </w:tblPrEx>
        <w:trPr>
          <w:trHeight w:val="432"/>
        </w:trPr>
        <w:tc>
          <w:tcPr>
            <w:tcW w:w="4428" w:type="dxa"/>
            <w:tcBorders>
              <w:top w:val="single" w:sz="4" w:space="0" w:color="auto"/>
              <w:right w:val="single" w:sz="4" w:space="0" w:color="auto"/>
            </w:tcBorders>
            <w:vAlign w:val="bottom"/>
          </w:tcPr>
          <w:p w:rsidR="00DD7C52" w:rsidRDefault="00DD7C52" w:rsidP="00CC3038">
            <w:pPr>
              <w:widowControl w:val="0"/>
              <w:autoSpaceDE w:val="0"/>
              <w:autoSpaceDN w:val="0"/>
              <w:adjustRightInd w:val="0"/>
            </w:pPr>
            <w:r>
              <w:t>Arsenic</w:t>
            </w:r>
          </w:p>
        </w:tc>
        <w:tc>
          <w:tcPr>
            <w:tcW w:w="4428" w:type="dxa"/>
            <w:tcBorders>
              <w:top w:val="single" w:sz="4" w:space="0" w:color="auto"/>
              <w:left w:val="single" w:sz="4" w:space="0" w:color="auto"/>
            </w:tcBorders>
            <w:vAlign w:val="bottom"/>
          </w:tcPr>
          <w:p w:rsidR="00DD7C52" w:rsidRDefault="00DD7C52" w:rsidP="00CC3038">
            <w:pPr>
              <w:widowControl w:val="0"/>
              <w:autoSpaceDE w:val="0"/>
              <w:autoSpaceDN w:val="0"/>
              <w:adjustRightInd w:val="0"/>
            </w:pPr>
            <w:r>
              <w:t>5 ppm maximum</w:t>
            </w:r>
          </w:p>
        </w:tc>
      </w:tr>
      <w:tr w:rsidR="00DD7C52">
        <w:tblPrEx>
          <w:tblCellMar>
            <w:top w:w="0" w:type="dxa"/>
            <w:bottom w:w="0" w:type="dxa"/>
          </w:tblCellMar>
        </w:tblPrEx>
        <w:trPr>
          <w:trHeight w:val="432"/>
        </w:trPr>
        <w:tc>
          <w:tcPr>
            <w:tcW w:w="4428" w:type="dxa"/>
            <w:tcBorders>
              <w:right w:val="single" w:sz="4" w:space="0" w:color="auto"/>
            </w:tcBorders>
            <w:vAlign w:val="bottom"/>
          </w:tcPr>
          <w:p w:rsidR="00DD7C52" w:rsidRDefault="00DD7C52" w:rsidP="00CC3038">
            <w:pPr>
              <w:widowControl w:val="0"/>
              <w:autoSpaceDE w:val="0"/>
              <w:autoSpaceDN w:val="0"/>
              <w:adjustRightInd w:val="0"/>
            </w:pPr>
            <w:r>
              <w:t>Cadmium</w:t>
            </w:r>
          </w:p>
        </w:tc>
        <w:tc>
          <w:tcPr>
            <w:tcW w:w="4428" w:type="dxa"/>
            <w:tcBorders>
              <w:left w:val="single" w:sz="4" w:space="0" w:color="auto"/>
            </w:tcBorders>
            <w:vAlign w:val="bottom"/>
          </w:tcPr>
          <w:p w:rsidR="00DD7C52" w:rsidRDefault="00DD7C52" w:rsidP="00CC3038">
            <w:pPr>
              <w:widowControl w:val="0"/>
              <w:autoSpaceDE w:val="0"/>
              <w:autoSpaceDN w:val="0"/>
              <w:adjustRightInd w:val="0"/>
            </w:pPr>
            <w:r>
              <w:t>2 ppm maximum</w:t>
            </w:r>
          </w:p>
        </w:tc>
      </w:tr>
      <w:tr w:rsidR="00DD7C52">
        <w:tblPrEx>
          <w:tblCellMar>
            <w:top w:w="0" w:type="dxa"/>
            <w:bottom w:w="0" w:type="dxa"/>
          </w:tblCellMar>
        </w:tblPrEx>
        <w:trPr>
          <w:trHeight w:val="432"/>
        </w:trPr>
        <w:tc>
          <w:tcPr>
            <w:tcW w:w="4428" w:type="dxa"/>
            <w:tcBorders>
              <w:right w:val="single" w:sz="4" w:space="0" w:color="auto"/>
            </w:tcBorders>
            <w:vAlign w:val="bottom"/>
          </w:tcPr>
          <w:p w:rsidR="00DD7C52" w:rsidRDefault="00DD7C52" w:rsidP="00CC3038">
            <w:pPr>
              <w:widowControl w:val="0"/>
              <w:autoSpaceDE w:val="0"/>
              <w:autoSpaceDN w:val="0"/>
              <w:adjustRightInd w:val="0"/>
            </w:pPr>
            <w:r>
              <w:t>Chromium</w:t>
            </w:r>
          </w:p>
        </w:tc>
        <w:tc>
          <w:tcPr>
            <w:tcW w:w="4428" w:type="dxa"/>
            <w:tcBorders>
              <w:left w:val="single" w:sz="4" w:space="0" w:color="auto"/>
            </w:tcBorders>
            <w:vAlign w:val="bottom"/>
          </w:tcPr>
          <w:p w:rsidR="00DD7C52" w:rsidRDefault="00DD7C52" w:rsidP="00CC3038">
            <w:pPr>
              <w:widowControl w:val="0"/>
              <w:autoSpaceDE w:val="0"/>
              <w:autoSpaceDN w:val="0"/>
              <w:adjustRightInd w:val="0"/>
            </w:pPr>
            <w:r>
              <w:t>10 ppm maximum</w:t>
            </w:r>
          </w:p>
        </w:tc>
      </w:tr>
      <w:tr w:rsidR="00DD7C52">
        <w:tblPrEx>
          <w:tblCellMar>
            <w:top w:w="0" w:type="dxa"/>
            <w:bottom w:w="0" w:type="dxa"/>
          </w:tblCellMar>
        </w:tblPrEx>
        <w:trPr>
          <w:trHeight w:val="432"/>
        </w:trPr>
        <w:tc>
          <w:tcPr>
            <w:tcW w:w="4428" w:type="dxa"/>
            <w:tcBorders>
              <w:right w:val="single" w:sz="4" w:space="0" w:color="auto"/>
            </w:tcBorders>
            <w:vAlign w:val="bottom"/>
          </w:tcPr>
          <w:p w:rsidR="00DD7C52" w:rsidRDefault="00DD7C52" w:rsidP="00CC3038">
            <w:pPr>
              <w:widowControl w:val="0"/>
              <w:autoSpaceDE w:val="0"/>
              <w:autoSpaceDN w:val="0"/>
              <w:adjustRightInd w:val="0"/>
            </w:pPr>
            <w:r>
              <w:t>Lead</w:t>
            </w:r>
          </w:p>
        </w:tc>
        <w:tc>
          <w:tcPr>
            <w:tcW w:w="4428" w:type="dxa"/>
            <w:tcBorders>
              <w:left w:val="single" w:sz="4" w:space="0" w:color="auto"/>
            </w:tcBorders>
            <w:vAlign w:val="bottom"/>
          </w:tcPr>
          <w:p w:rsidR="00DD7C52" w:rsidRDefault="00DD7C52" w:rsidP="00CC3038">
            <w:pPr>
              <w:widowControl w:val="0"/>
              <w:autoSpaceDE w:val="0"/>
              <w:autoSpaceDN w:val="0"/>
              <w:adjustRightInd w:val="0"/>
            </w:pPr>
            <w:r>
              <w:t>100 ppm maximum</w:t>
            </w:r>
          </w:p>
        </w:tc>
      </w:tr>
      <w:tr w:rsidR="00DD7C52">
        <w:tblPrEx>
          <w:tblCellMar>
            <w:top w:w="0" w:type="dxa"/>
            <w:bottom w:w="0" w:type="dxa"/>
          </w:tblCellMar>
        </w:tblPrEx>
        <w:trPr>
          <w:trHeight w:val="432"/>
        </w:trPr>
        <w:tc>
          <w:tcPr>
            <w:tcW w:w="4428" w:type="dxa"/>
            <w:tcBorders>
              <w:right w:val="single" w:sz="4" w:space="0" w:color="auto"/>
            </w:tcBorders>
            <w:vAlign w:val="bottom"/>
          </w:tcPr>
          <w:p w:rsidR="00DD7C52" w:rsidRDefault="00DD7C52" w:rsidP="00CC3038">
            <w:pPr>
              <w:widowControl w:val="0"/>
              <w:autoSpaceDE w:val="0"/>
              <w:autoSpaceDN w:val="0"/>
              <w:adjustRightInd w:val="0"/>
            </w:pPr>
            <w:r>
              <w:t xml:space="preserve">Flash </w:t>
            </w:r>
            <w:r w:rsidR="0006749E">
              <w:t>p</w:t>
            </w:r>
            <w:r>
              <w:t>oint</w:t>
            </w:r>
          </w:p>
        </w:tc>
        <w:tc>
          <w:tcPr>
            <w:tcW w:w="4428" w:type="dxa"/>
            <w:tcBorders>
              <w:left w:val="single" w:sz="4" w:space="0" w:color="auto"/>
            </w:tcBorders>
            <w:vAlign w:val="bottom"/>
          </w:tcPr>
          <w:p w:rsidR="00DD7C52" w:rsidRDefault="00DD7C52" w:rsidP="00CC3038">
            <w:pPr>
              <w:widowControl w:val="0"/>
              <w:autoSpaceDE w:val="0"/>
              <w:autoSpaceDN w:val="0"/>
              <w:adjustRightInd w:val="0"/>
            </w:pPr>
            <w:r>
              <w:t>100 ºF minimum</w:t>
            </w:r>
          </w:p>
        </w:tc>
      </w:tr>
      <w:tr w:rsidR="00DD7C52">
        <w:tblPrEx>
          <w:tblCellMar>
            <w:top w:w="0" w:type="dxa"/>
            <w:bottom w:w="0" w:type="dxa"/>
          </w:tblCellMar>
        </w:tblPrEx>
        <w:trPr>
          <w:trHeight w:val="432"/>
        </w:trPr>
        <w:tc>
          <w:tcPr>
            <w:tcW w:w="4428" w:type="dxa"/>
            <w:tcBorders>
              <w:bottom w:val="single" w:sz="4" w:space="0" w:color="auto"/>
              <w:right w:val="single" w:sz="4" w:space="0" w:color="auto"/>
            </w:tcBorders>
            <w:vAlign w:val="bottom"/>
          </w:tcPr>
          <w:p w:rsidR="00DD7C52" w:rsidRDefault="00DD7C52" w:rsidP="00CC3038">
            <w:pPr>
              <w:widowControl w:val="0"/>
              <w:autoSpaceDE w:val="0"/>
              <w:autoSpaceDN w:val="0"/>
              <w:adjustRightInd w:val="0"/>
              <w:ind w:left="561"/>
            </w:pPr>
            <w:r>
              <w:t>Total halogens</w:t>
            </w:r>
          </w:p>
        </w:tc>
        <w:tc>
          <w:tcPr>
            <w:tcW w:w="4428" w:type="dxa"/>
            <w:tcBorders>
              <w:left w:val="single" w:sz="4" w:space="0" w:color="auto"/>
              <w:bottom w:val="single" w:sz="4" w:space="0" w:color="auto"/>
            </w:tcBorders>
            <w:vAlign w:val="bottom"/>
          </w:tcPr>
          <w:p w:rsidR="00DD7C52" w:rsidRPr="00EF567B" w:rsidRDefault="00DD7C52" w:rsidP="00CC3038">
            <w:pPr>
              <w:widowControl w:val="0"/>
              <w:autoSpaceDE w:val="0"/>
              <w:autoSpaceDN w:val="0"/>
              <w:adjustRightInd w:val="0"/>
              <w:rPr>
                <w:vertAlign w:val="subscript"/>
              </w:rPr>
            </w:pPr>
            <w:r>
              <w:t>4,000 ppm maximum</w:t>
            </w:r>
            <w:r w:rsidRPr="00A910FD">
              <w:rPr>
                <w:vertAlign w:val="superscript"/>
              </w:rPr>
              <w:t>2</w:t>
            </w:r>
          </w:p>
        </w:tc>
      </w:tr>
    </w:tbl>
    <w:p w:rsidR="00DD7C52" w:rsidRDefault="00DD7C52" w:rsidP="00DD7C52">
      <w:pPr>
        <w:widowControl w:val="0"/>
        <w:autoSpaceDE w:val="0"/>
        <w:autoSpaceDN w:val="0"/>
        <w:adjustRightInd w:val="0"/>
      </w:pPr>
    </w:p>
    <w:p w:rsidR="00DD7C52" w:rsidRDefault="00DD7C52" w:rsidP="00DD7C52">
      <w:pPr>
        <w:widowControl w:val="0"/>
        <w:autoSpaceDE w:val="0"/>
        <w:autoSpaceDN w:val="0"/>
        <w:adjustRightInd w:val="0"/>
      </w:pPr>
      <w:r>
        <w:t xml:space="preserve">FOOTNOTE: </w:t>
      </w:r>
      <w:r w:rsidR="002D1618">
        <w:t xml:space="preserve"> </w:t>
      </w:r>
      <w:r w:rsidRPr="00A910FD">
        <w:rPr>
          <w:vertAlign w:val="superscript"/>
        </w:rPr>
        <w:t>1</w:t>
      </w:r>
      <w:r w:rsidR="002D1618">
        <w:rPr>
          <w:vertAlign w:val="superscript"/>
        </w:rPr>
        <w:t xml:space="preserve"> </w:t>
      </w:r>
      <w:r>
        <w:t xml:space="preserve">The </w:t>
      </w:r>
      <w:r w:rsidR="0071754E">
        <w:t>allowable levels do</w:t>
      </w:r>
      <w:r>
        <w:t xml:space="preserve"> not apply to mixtures of used oil and hazardous waste that continue to be regulated as hazardous waste (see Section </w:t>
      </w:r>
      <w:r w:rsidR="002D1618">
        <w:t>7</w:t>
      </w:r>
      <w:r>
        <w:t xml:space="preserve">39.110(b)). </w:t>
      </w:r>
    </w:p>
    <w:p w:rsidR="00DD7C52" w:rsidRDefault="00DD7C52" w:rsidP="00DD7C52">
      <w:pPr>
        <w:widowControl w:val="0"/>
        <w:autoSpaceDE w:val="0"/>
        <w:autoSpaceDN w:val="0"/>
        <w:adjustRightInd w:val="0"/>
      </w:pPr>
    </w:p>
    <w:p w:rsidR="00DD7C52" w:rsidRDefault="00DD7C52" w:rsidP="00DD7C52">
      <w:pPr>
        <w:widowControl w:val="0"/>
        <w:autoSpaceDE w:val="0"/>
        <w:autoSpaceDN w:val="0"/>
        <w:adjustRightInd w:val="0"/>
      </w:pPr>
      <w:r>
        <w:t xml:space="preserve">FOOTNOTE: </w:t>
      </w:r>
      <w:r w:rsidR="002D1618">
        <w:t xml:space="preserve"> </w:t>
      </w:r>
      <w:r w:rsidRPr="00A910FD">
        <w:rPr>
          <w:vertAlign w:val="superscript"/>
        </w:rPr>
        <w:t>2</w:t>
      </w:r>
      <w:r w:rsidR="002D1618">
        <w:rPr>
          <w:vertAlign w:val="superscript"/>
        </w:rPr>
        <w:t xml:space="preserve"> </w:t>
      </w:r>
      <w:r>
        <w:t xml:space="preserve">Used oil containing more than 1,000 ppm total halogens is presumed to be a hazardous waste under the rebuttable presumption provided under Section 739.110(b)(1).  Such used oil is subject to </w:t>
      </w:r>
      <w:r w:rsidR="009C7232">
        <w:t xml:space="preserve">Subpart H of </w:t>
      </w:r>
      <w:r>
        <w:t>35 Ill. Adm. Code 726</w:t>
      </w:r>
      <w:r w:rsidR="009C7232">
        <w:t>,</w:t>
      </w:r>
      <w:r>
        <w:t xml:space="preserve"> rather than this Part</w:t>
      </w:r>
      <w:r w:rsidR="009C7232">
        <w:t>,</w:t>
      </w:r>
      <w:r>
        <w:t xml:space="preserve"> when burned for energy recovery unless the presumption of mixing can be successfully rebutted. </w:t>
      </w:r>
    </w:p>
    <w:p w:rsidR="00DD7C52" w:rsidRDefault="00DD7C52" w:rsidP="00DD7C52">
      <w:pPr>
        <w:widowControl w:val="0"/>
        <w:autoSpaceDE w:val="0"/>
        <w:autoSpaceDN w:val="0"/>
        <w:adjustRightInd w:val="0"/>
      </w:pPr>
    </w:p>
    <w:p w:rsidR="00DD7C52" w:rsidRDefault="00DD7C52" w:rsidP="00DD7C52">
      <w:pPr>
        <w:widowControl w:val="0"/>
        <w:autoSpaceDE w:val="0"/>
        <w:autoSpaceDN w:val="0"/>
        <w:adjustRightInd w:val="0"/>
      </w:pPr>
      <w:r>
        <w:t xml:space="preserve">NOTE:  Applicable standards for the burning of used oil containing PCBs are imposed by 40 CFR 761.20(e). </w:t>
      </w:r>
    </w:p>
    <w:p w:rsidR="00DD7C52" w:rsidRDefault="00DD7C52" w:rsidP="00DD7C52"/>
    <w:p w:rsidR="0071754E" w:rsidRPr="00D55B37" w:rsidRDefault="0071754E">
      <w:pPr>
        <w:pStyle w:val="JCARSourceNote"/>
        <w:ind w:left="720"/>
      </w:pPr>
      <w:r w:rsidRPr="00D55B37">
        <w:t xml:space="preserve">(Source:  </w:t>
      </w:r>
      <w:r>
        <w:t>Amended</w:t>
      </w:r>
      <w:r w:rsidRPr="00D55B37">
        <w:t xml:space="preserve"> at </w:t>
      </w:r>
      <w:r>
        <w:t>32 I</w:t>
      </w:r>
      <w:r w:rsidRPr="00D55B37">
        <w:t xml:space="preserve">ll. Reg. </w:t>
      </w:r>
      <w:r w:rsidR="001F0802">
        <w:t>13047</w:t>
      </w:r>
      <w:r w:rsidRPr="00D55B37">
        <w:t xml:space="preserve">, effective </w:t>
      </w:r>
      <w:r w:rsidR="005E7BC4">
        <w:t>July 14, 2008</w:t>
      </w:r>
      <w:r w:rsidRPr="00D55B37">
        <w:t>)</w:t>
      </w:r>
    </w:p>
    <w:sectPr w:rsidR="0071754E" w:rsidRPr="00D55B37" w:rsidSect="00BF1D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1DDA"/>
    <w:rsid w:val="0006749E"/>
    <w:rsid w:val="00081433"/>
    <w:rsid w:val="000E43AE"/>
    <w:rsid w:val="00157AB5"/>
    <w:rsid w:val="001F0802"/>
    <w:rsid w:val="002B5B1C"/>
    <w:rsid w:val="002D1618"/>
    <w:rsid w:val="002E233B"/>
    <w:rsid w:val="005C3366"/>
    <w:rsid w:val="005E7BC4"/>
    <w:rsid w:val="0071754E"/>
    <w:rsid w:val="00987C49"/>
    <w:rsid w:val="009C7232"/>
    <w:rsid w:val="00A910FD"/>
    <w:rsid w:val="00BF1DDA"/>
    <w:rsid w:val="00C5692E"/>
    <w:rsid w:val="00CC3038"/>
    <w:rsid w:val="00CD2662"/>
    <w:rsid w:val="00D205CD"/>
    <w:rsid w:val="00DD7C52"/>
    <w:rsid w:val="00EA7053"/>
    <w:rsid w:val="00EF567B"/>
    <w:rsid w:val="00F3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7C5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7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7C5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