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F3" w:rsidRDefault="002176F3" w:rsidP="002176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76F3" w:rsidRDefault="002176F3" w:rsidP="002176F3">
      <w:pPr>
        <w:widowControl w:val="0"/>
        <w:autoSpaceDE w:val="0"/>
        <w:autoSpaceDN w:val="0"/>
        <w:adjustRightInd w:val="0"/>
        <w:jc w:val="center"/>
      </w:pPr>
      <w:r>
        <w:t>SUBPART C:  STANDARDS FOR LARGE QUANTITY HANDLERS</w:t>
      </w:r>
    </w:p>
    <w:sectPr w:rsidR="002176F3" w:rsidSect="002176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6F3"/>
    <w:rsid w:val="001819D6"/>
    <w:rsid w:val="002176F3"/>
    <w:rsid w:val="00361B74"/>
    <w:rsid w:val="00431B6E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STANDARDS FOR LARGE QUANTITY HANDLERS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STANDARDS FOR LARGE QUANTITY HANDLERS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