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5B" w:rsidRDefault="00900D5B" w:rsidP="00900D5B">
      <w:bookmarkStart w:id="0" w:name="_GoBack"/>
      <w:bookmarkEnd w:id="0"/>
    </w:p>
    <w:p w:rsidR="00900D5B" w:rsidRDefault="00900D5B" w:rsidP="00900D5B">
      <w:pPr>
        <w:rPr>
          <w:b/>
        </w:rPr>
      </w:pPr>
      <w:r w:rsidRPr="00900D5B">
        <w:rPr>
          <w:b/>
        </w:rPr>
        <w:t>Section 732.810  UST Removal or Abandonment Costs</w:t>
      </w:r>
    </w:p>
    <w:p w:rsidR="000558C9" w:rsidRDefault="000558C9" w:rsidP="00900D5B">
      <w:pPr>
        <w:rPr>
          <w:b/>
        </w:rPr>
      </w:pPr>
    </w:p>
    <w:p w:rsidR="00900D5B" w:rsidRDefault="00900D5B" w:rsidP="00900D5B">
      <w:r w:rsidRPr="00720666">
        <w:t xml:space="preserve">Payment for costs associated with UST removal or abandonment of each UST must not exceed the amounts set forth in this Section.  Such costs must include, but </w:t>
      </w:r>
      <w:r w:rsidR="00386F32">
        <w:t xml:space="preserve">are </w:t>
      </w:r>
      <w:r w:rsidRPr="00720666">
        <w:t>not limited to, those associated with the excavation, removal, disposal, and abandonment of UST systems.</w:t>
      </w:r>
    </w:p>
    <w:p w:rsidR="00900D5B" w:rsidRDefault="00900D5B" w:rsidP="00900D5B"/>
    <w:tbl>
      <w:tblPr>
        <w:tblW w:w="0" w:type="auto"/>
        <w:tblInd w:w="849" w:type="dxa"/>
        <w:tblLook w:val="0000" w:firstRow="0" w:lastRow="0" w:firstColumn="0" w:lastColumn="0" w:noHBand="0" w:noVBand="0"/>
      </w:tblPr>
      <w:tblGrid>
        <w:gridCol w:w="3249"/>
        <w:gridCol w:w="4047"/>
      </w:tblGrid>
      <w:tr w:rsidR="000908D3">
        <w:tblPrEx>
          <w:tblCellMar>
            <w:top w:w="0" w:type="dxa"/>
            <w:bottom w:w="0" w:type="dxa"/>
          </w:tblCellMar>
        </w:tblPrEx>
        <w:tc>
          <w:tcPr>
            <w:tcW w:w="3249" w:type="dxa"/>
          </w:tcPr>
          <w:p w:rsidR="000908D3" w:rsidRDefault="000908D3" w:rsidP="00900D5B">
            <w:r w:rsidRPr="00720666">
              <w:t>UST Volume</w:t>
            </w:r>
          </w:p>
        </w:tc>
        <w:tc>
          <w:tcPr>
            <w:tcW w:w="4047" w:type="dxa"/>
          </w:tcPr>
          <w:p w:rsidR="000908D3" w:rsidRDefault="000908D3" w:rsidP="000908D3">
            <w:pPr>
              <w:jc w:val="center"/>
            </w:pPr>
            <w:r w:rsidRPr="00720666">
              <w:t>Maximum Total Amount per UST</w:t>
            </w:r>
          </w:p>
        </w:tc>
      </w:tr>
      <w:tr w:rsidR="000908D3">
        <w:tblPrEx>
          <w:tblCellMar>
            <w:top w:w="0" w:type="dxa"/>
            <w:bottom w:w="0" w:type="dxa"/>
          </w:tblCellMar>
        </w:tblPrEx>
        <w:tc>
          <w:tcPr>
            <w:tcW w:w="3249" w:type="dxa"/>
          </w:tcPr>
          <w:p w:rsidR="000908D3" w:rsidRPr="00720666" w:rsidRDefault="000908D3" w:rsidP="00900D5B"/>
        </w:tc>
        <w:tc>
          <w:tcPr>
            <w:tcW w:w="4047" w:type="dxa"/>
          </w:tcPr>
          <w:p w:rsidR="000908D3" w:rsidRPr="00720666" w:rsidRDefault="000908D3" w:rsidP="000908D3">
            <w:pPr>
              <w:jc w:val="center"/>
            </w:pPr>
          </w:p>
        </w:tc>
      </w:tr>
      <w:tr w:rsidR="000908D3">
        <w:tblPrEx>
          <w:tblCellMar>
            <w:top w:w="0" w:type="dxa"/>
            <w:bottom w:w="0" w:type="dxa"/>
          </w:tblCellMar>
        </w:tblPrEx>
        <w:tc>
          <w:tcPr>
            <w:tcW w:w="3249" w:type="dxa"/>
          </w:tcPr>
          <w:p w:rsidR="000908D3" w:rsidRDefault="000908D3" w:rsidP="00900D5B">
            <w:r w:rsidRPr="00720666">
              <w:t>110 – 999 gallons</w:t>
            </w:r>
          </w:p>
        </w:tc>
        <w:tc>
          <w:tcPr>
            <w:tcW w:w="4047" w:type="dxa"/>
          </w:tcPr>
          <w:p w:rsidR="000908D3" w:rsidRDefault="000908D3" w:rsidP="000908D3">
            <w:pPr>
              <w:jc w:val="center"/>
            </w:pPr>
            <w:r w:rsidRPr="00720666">
              <w:t>$2,100</w:t>
            </w:r>
          </w:p>
        </w:tc>
      </w:tr>
      <w:tr w:rsidR="000908D3">
        <w:tblPrEx>
          <w:tblCellMar>
            <w:top w:w="0" w:type="dxa"/>
            <w:bottom w:w="0" w:type="dxa"/>
          </w:tblCellMar>
        </w:tblPrEx>
        <w:tc>
          <w:tcPr>
            <w:tcW w:w="3249" w:type="dxa"/>
          </w:tcPr>
          <w:p w:rsidR="000908D3" w:rsidRDefault="000908D3" w:rsidP="00900D5B">
            <w:r w:rsidRPr="00720666">
              <w:t>1,000 – 14,999 gallons</w:t>
            </w:r>
          </w:p>
        </w:tc>
        <w:tc>
          <w:tcPr>
            <w:tcW w:w="4047" w:type="dxa"/>
          </w:tcPr>
          <w:p w:rsidR="000908D3" w:rsidRDefault="000908D3" w:rsidP="000908D3">
            <w:pPr>
              <w:jc w:val="center"/>
            </w:pPr>
            <w:r w:rsidRPr="00720666">
              <w:t>$3,150</w:t>
            </w:r>
          </w:p>
        </w:tc>
      </w:tr>
      <w:tr w:rsidR="000908D3">
        <w:tblPrEx>
          <w:tblCellMar>
            <w:top w:w="0" w:type="dxa"/>
            <w:bottom w:w="0" w:type="dxa"/>
          </w:tblCellMar>
        </w:tblPrEx>
        <w:tc>
          <w:tcPr>
            <w:tcW w:w="3249" w:type="dxa"/>
          </w:tcPr>
          <w:p w:rsidR="000908D3" w:rsidRDefault="000908D3" w:rsidP="00900D5B">
            <w:r w:rsidRPr="00720666">
              <w:t>15,000 or more gallons</w:t>
            </w:r>
          </w:p>
        </w:tc>
        <w:tc>
          <w:tcPr>
            <w:tcW w:w="4047" w:type="dxa"/>
          </w:tcPr>
          <w:p w:rsidR="000908D3" w:rsidRDefault="000908D3" w:rsidP="000908D3">
            <w:pPr>
              <w:jc w:val="center"/>
            </w:pPr>
            <w:r w:rsidRPr="00720666">
              <w:t>$4,100</w:t>
            </w:r>
          </w:p>
        </w:tc>
      </w:tr>
    </w:tbl>
    <w:p w:rsidR="000908D3" w:rsidRDefault="000908D3" w:rsidP="00900D5B"/>
    <w:p w:rsidR="00900D5B" w:rsidRPr="00D55B37" w:rsidRDefault="00900D5B">
      <w:pPr>
        <w:pStyle w:val="JCARSourceNote"/>
        <w:ind w:left="720"/>
      </w:pPr>
      <w:r w:rsidRPr="00D55B37">
        <w:t xml:space="preserve">(Source:  </w:t>
      </w:r>
      <w:r>
        <w:t>Added</w:t>
      </w:r>
      <w:r w:rsidRPr="00D55B37">
        <w:t xml:space="preserve"> at </w:t>
      </w:r>
      <w:r w:rsidR="008102B4">
        <w:t>30</w:t>
      </w:r>
      <w:r w:rsidRPr="00D55B37">
        <w:t xml:space="preserve"> Ill. Reg. </w:t>
      </w:r>
      <w:r w:rsidR="00F8431E">
        <w:t>4928</w:t>
      </w:r>
      <w:r w:rsidRPr="00D55B37">
        <w:t xml:space="preserve">, effective </w:t>
      </w:r>
      <w:r w:rsidR="00F8431E">
        <w:t>March 1, 2006</w:t>
      </w:r>
      <w:r w:rsidRPr="00D55B37">
        <w:t>)</w:t>
      </w:r>
    </w:p>
    <w:sectPr w:rsidR="00900D5B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5CC6">
      <w:r>
        <w:separator/>
      </w:r>
    </w:p>
  </w:endnote>
  <w:endnote w:type="continuationSeparator" w:id="0">
    <w:p w:rsidR="00000000" w:rsidRDefault="00D8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5CC6">
      <w:r>
        <w:separator/>
      </w:r>
    </w:p>
  </w:footnote>
  <w:footnote w:type="continuationSeparator" w:id="0">
    <w:p w:rsidR="00000000" w:rsidRDefault="00D85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58C9"/>
    <w:rsid w:val="00061FD4"/>
    <w:rsid w:val="000908D3"/>
    <w:rsid w:val="000B4143"/>
    <w:rsid w:val="000D225F"/>
    <w:rsid w:val="0014640C"/>
    <w:rsid w:val="00150267"/>
    <w:rsid w:val="001C7D95"/>
    <w:rsid w:val="001E3074"/>
    <w:rsid w:val="00225354"/>
    <w:rsid w:val="002524EC"/>
    <w:rsid w:val="002725B5"/>
    <w:rsid w:val="002A643F"/>
    <w:rsid w:val="00337CEB"/>
    <w:rsid w:val="00367A2E"/>
    <w:rsid w:val="00386F32"/>
    <w:rsid w:val="003951B7"/>
    <w:rsid w:val="003C3349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102B4"/>
    <w:rsid w:val="00825C45"/>
    <w:rsid w:val="008271B1"/>
    <w:rsid w:val="00837F88"/>
    <w:rsid w:val="0084781C"/>
    <w:rsid w:val="008B4361"/>
    <w:rsid w:val="008D4EA0"/>
    <w:rsid w:val="00900D5B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77BA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85CC6"/>
    <w:rsid w:val="00D93C67"/>
    <w:rsid w:val="00E7288E"/>
    <w:rsid w:val="00E87888"/>
    <w:rsid w:val="00EB424E"/>
    <w:rsid w:val="00F43DEE"/>
    <w:rsid w:val="00F8431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D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D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