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124" w:rsidRDefault="00674124" w:rsidP="006741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4124" w:rsidRDefault="00674124" w:rsidP="006741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730.111  Applicability</w:t>
      </w:r>
      <w:r>
        <w:t xml:space="preserve"> </w:t>
      </w:r>
    </w:p>
    <w:p w:rsidR="00674124" w:rsidRDefault="00674124" w:rsidP="00674124">
      <w:pPr>
        <w:widowControl w:val="0"/>
        <w:autoSpaceDE w:val="0"/>
        <w:autoSpaceDN w:val="0"/>
        <w:adjustRightInd w:val="0"/>
      </w:pPr>
    </w:p>
    <w:p w:rsidR="00674124" w:rsidRDefault="00674124" w:rsidP="00674124">
      <w:pPr>
        <w:widowControl w:val="0"/>
        <w:autoSpaceDE w:val="0"/>
        <w:autoSpaceDN w:val="0"/>
        <w:adjustRightInd w:val="0"/>
      </w:pPr>
      <w:r>
        <w:t xml:space="preserve">This </w:t>
      </w:r>
      <w:r w:rsidR="00D00F64">
        <w:t>S</w:t>
      </w:r>
      <w:r>
        <w:t xml:space="preserve">ubpart </w:t>
      </w:r>
      <w:r w:rsidR="008A7243">
        <w:t xml:space="preserve">B </w:t>
      </w:r>
      <w:r>
        <w:t xml:space="preserve">establishes criteria and standards for underground injection control programs to regulate Class I non-hazardous </w:t>
      </w:r>
      <w:r w:rsidR="008A7243">
        <w:t xml:space="preserve">waste injection </w:t>
      </w:r>
      <w:r>
        <w:t xml:space="preserve">wells. </w:t>
      </w:r>
    </w:p>
    <w:p w:rsidR="00D065AE" w:rsidRDefault="00D065AE" w:rsidP="00674124">
      <w:pPr>
        <w:widowControl w:val="0"/>
        <w:autoSpaceDE w:val="0"/>
        <w:autoSpaceDN w:val="0"/>
        <w:adjustRightInd w:val="0"/>
      </w:pPr>
    </w:p>
    <w:p w:rsidR="00674124" w:rsidRDefault="00674124" w:rsidP="00674124">
      <w:pPr>
        <w:widowControl w:val="0"/>
        <w:autoSpaceDE w:val="0"/>
        <w:autoSpaceDN w:val="0"/>
        <w:adjustRightInd w:val="0"/>
      </w:pPr>
      <w:r>
        <w:t xml:space="preserve">BOARD NOTE:  Derived from 40 CFR 146.11 </w:t>
      </w:r>
      <w:r w:rsidR="008A7243">
        <w:t>(2005)</w:t>
      </w:r>
      <w:r>
        <w:t xml:space="preserve">. </w:t>
      </w:r>
    </w:p>
    <w:p w:rsidR="00674124" w:rsidRDefault="00674124" w:rsidP="00674124">
      <w:pPr>
        <w:widowControl w:val="0"/>
        <w:autoSpaceDE w:val="0"/>
        <w:autoSpaceDN w:val="0"/>
        <w:adjustRightInd w:val="0"/>
      </w:pPr>
    </w:p>
    <w:p w:rsidR="008A7243" w:rsidRPr="00D55B37" w:rsidRDefault="008A724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A3CAC">
        <w:t>1</w:t>
      </w:r>
      <w:r>
        <w:t xml:space="preserve"> I</w:t>
      </w:r>
      <w:r w:rsidRPr="00D55B37">
        <w:t xml:space="preserve">ll. Reg. </w:t>
      </w:r>
      <w:r w:rsidR="00937817">
        <w:t>1281</w:t>
      </w:r>
      <w:r w:rsidRPr="00D55B37">
        <w:t xml:space="preserve">, effective </w:t>
      </w:r>
      <w:r w:rsidR="00611331">
        <w:t>December 20, 2006</w:t>
      </w:r>
      <w:r w:rsidRPr="00D55B37">
        <w:t>)</w:t>
      </w:r>
    </w:p>
    <w:sectPr w:rsidR="008A7243" w:rsidRPr="00D55B37" w:rsidSect="006741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4124"/>
    <w:rsid w:val="00255C53"/>
    <w:rsid w:val="003D2E64"/>
    <w:rsid w:val="003E2454"/>
    <w:rsid w:val="005C3366"/>
    <w:rsid w:val="00605A9B"/>
    <w:rsid w:val="00611331"/>
    <w:rsid w:val="00674124"/>
    <w:rsid w:val="008A7243"/>
    <w:rsid w:val="00937817"/>
    <w:rsid w:val="009A3CAC"/>
    <w:rsid w:val="00D00F64"/>
    <w:rsid w:val="00D0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7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