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A2" w:rsidRDefault="000276A2" w:rsidP="000276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6A2" w:rsidRDefault="000276A2" w:rsidP="000276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725.482  Open Burning; Waste Explosives</w:t>
      </w:r>
      <w:r>
        <w:t xml:space="preserve"> </w:t>
      </w:r>
    </w:p>
    <w:p w:rsidR="000276A2" w:rsidRDefault="000276A2" w:rsidP="000276A2">
      <w:pPr>
        <w:widowControl w:val="0"/>
        <w:autoSpaceDE w:val="0"/>
        <w:autoSpaceDN w:val="0"/>
        <w:adjustRightInd w:val="0"/>
      </w:pPr>
    </w:p>
    <w:p w:rsidR="000276A2" w:rsidRDefault="001361ED" w:rsidP="000276A2">
      <w:pPr>
        <w:widowControl w:val="0"/>
        <w:autoSpaceDE w:val="0"/>
        <w:autoSpaceDN w:val="0"/>
        <w:adjustRightInd w:val="0"/>
      </w:pPr>
      <w:r>
        <w:t>Open burning of hazardous waste</w:t>
      </w:r>
      <w:r w:rsidR="000276A2">
        <w:t xml:space="preserve"> is prohibited except for the open burning and detonation of waste explosives.  Waste explosives include waste </w:t>
      </w:r>
      <w:r w:rsidR="00DA5B51">
        <w:t>that</w:t>
      </w:r>
      <w:r w:rsidR="000276A2">
        <w:t xml:space="preserve"> has the potential to detonate and bulk military propellants </w:t>
      </w:r>
      <w:r w:rsidR="00DA5B51">
        <w:t>that</w:t>
      </w:r>
      <w:r w:rsidR="000276A2">
        <w:t xml:space="preserve"> cannot safely be disposed of through other modes of treatment.  Detonation is an explosion in which chemical transformation passes throug</w:t>
      </w:r>
      <w:r>
        <w:t xml:space="preserve">h the material faster than the </w:t>
      </w:r>
      <w:r w:rsidR="000276A2">
        <w:t>speed of sound (0.33 kilometers/second at sea level).  Owners or operators choosing to open burn or detonate waste explosives mu</w:t>
      </w:r>
      <w:r>
        <w:t xml:space="preserve">st do so in accordance </w:t>
      </w:r>
      <w:r w:rsidR="000276A2">
        <w:t xml:space="preserve">with the following table and in a manner that does not threaten human health or the environment. </w:t>
      </w:r>
    </w:p>
    <w:p w:rsidR="000276A2" w:rsidRDefault="000276A2" w:rsidP="000276A2">
      <w:pPr>
        <w:widowControl w:val="0"/>
        <w:autoSpaceDE w:val="0"/>
        <w:autoSpaceDN w:val="0"/>
        <w:adjustRightInd w:val="0"/>
      </w:pPr>
    </w:p>
    <w:tbl>
      <w:tblPr>
        <w:tblW w:w="0" w:type="auto"/>
        <w:tblInd w:w="849" w:type="dxa"/>
        <w:tblLook w:val="0000" w:firstRow="0" w:lastRow="0" w:firstColumn="0" w:lastColumn="0" w:noHBand="0" w:noVBand="0"/>
      </w:tblPr>
      <w:tblGrid>
        <w:gridCol w:w="3879"/>
        <w:gridCol w:w="3588"/>
      </w:tblGrid>
      <w:tr w:rsidR="001361ED" w:rsidRPr="001361E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879" w:type="dxa"/>
            <w:tcBorders>
              <w:bottom w:val="single" w:sz="4" w:space="0" w:color="auto"/>
            </w:tcBorders>
          </w:tcPr>
          <w:p w:rsidR="001361ED" w:rsidRPr="001361ED" w:rsidRDefault="001361ED" w:rsidP="001361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61ED">
              <w:t>Distance From Open</w:t>
            </w:r>
            <w:r>
              <w:t xml:space="preserve"> </w:t>
            </w:r>
            <w:r w:rsidRPr="001361ED">
              <w:t>Pounds of Waste Explosives</w:t>
            </w:r>
            <w:r>
              <w:t xml:space="preserve"> </w:t>
            </w:r>
            <w:r w:rsidRPr="001361ED">
              <w:t>or Propellants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1361ED" w:rsidRPr="001361ED" w:rsidRDefault="001361ED" w:rsidP="001361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61ED">
              <w:t>Burning or Detonation To</w:t>
            </w:r>
            <w:r>
              <w:t xml:space="preserve"> </w:t>
            </w:r>
            <w:r w:rsidRPr="001361ED">
              <w:t>the</w:t>
            </w:r>
            <w:r>
              <w:t xml:space="preserve"> </w:t>
            </w:r>
            <w:r w:rsidRPr="001361ED">
              <w:t>Property of Others</w:t>
            </w:r>
          </w:p>
        </w:tc>
      </w:tr>
      <w:tr w:rsidR="001361ED" w:rsidRPr="001361E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879" w:type="dxa"/>
            <w:vAlign w:val="bottom"/>
          </w:tcPr>
          <w:p w:rsidR="001361ED" w:rsidRPr="001361ED" w:rsidRDefault="001361ED" w:rsidP="001361ED">
            <w:pPr>
              <w:widowControl w:val="0"/>
              <w:autoSpaceDE w:val="0"/>
              <w:autoSpaceDN w:val="0"/>
              <w:adjustRightInd w:val="0"/>
              <w:ind w:left="975"/>
            </w:pPr>
            <w:r w:rsidRPr="001361ED">
              <w:t>0 to 100</w:t>
            </w:r>
          </w:p>
        </w:tc>
        <w:tc>
          <w:tcPr>
            <w:tcW w:w="3588" w:type="dxa"/>
            <w:vAlign w:val="bottom"/>
          </w:tcPr>
          <w:p w:rsidR="001361ED" w:rsidRPr="001361ED" w:rsidRDefault="001361ED" w:rsidP="001361ED">
            <w:pPr>
              <w:widowControl w:val="0"/>
              <w:autoSpaceDE w:val="0"/>
              <w:autoSpaceDN w:val="0"/>
              <w:adjustRightInd w:val="0"/>
              <w:ind w:left="288"/>
            </w:pPr>
            <w:r w:rsidRPr="001361ED">
              <w:t>204 meters ( 670 feet)</w:t>
            </w:r>
          </w:p>
        </w:tc>
      </w:tr>
      <w:tr w:rsidR="001361ED" w:rsidRPr="001361ED">
        <w:tblPrEx>
          <w:tblCellMar>
            <w:top w:w="0" w:type="dxa"/>
            <w:bottom w:w="0" w:type="dxa"/>
          </w:tblCellMar>
        </w:tblPrEx>
        <w:tc>
          <w:tcPr>
            <w:tcW w:w="3879" w:type="dxa"/>
          </w:tcPr>
          <w:p w:rsidR="001361ED" w:rsidRPr="001361ED" w:rsidRDefault="001361ED" w:rsidP="001361ED">
            <w:pPr>
              <w:widowControl w:val="0"/>
              <w:autoSpaceDE w:val="0"/>
              <w:autoSpaceDN w:val="0"/>
              <w:adjustRightInd w:val="0"/>
              <w:ind w:left="975"/>
            </w:pPr>
            <w:r w:rsidRPr="001361ED">
              <w:t xml:space="preserve">101 to </w:t>
            </w:r>
            <w:r w:rsidR="00FB7FAF">
              <w:t>1,000</w:t>
            </w:r>
          </w:p>
        </w:tc>
        <w:tc>
          <w:tcPr>
            <w:tcW w:w="3588" w:type="dxa"/>
          </w:tcPr>
          <w:p w:rsidR="001361ED" w:rsidRPr="001361ED" w:rsidRDefault="001361ED" w:rsidP="001361ED">
            <w:pPr>
              <w:widowControl w:val="0"/>
              <w:autoSpaceDE w:val="0"/>
              <w:autoSpaceDN w:val="0"/>
              <w:adjustRightInd w:val="0"/>
              <w:ind w:left="288"/>
            </w:pPr>
            <w:r w:rsidRPr="001361ED">
              <w:t>380 meters (</w:t>
            </w:r>
            <w:r w:rsidR="00FB7FAF">
              <w:t>1,250</w:t>
            </w:r>
            <w:r w:rsidRPr="001361ED">
              <w:t xml:space="preserve"> feet)</w:t>
            </w:r>
          </w:p>
        </w:tc>
      </w:tr>
      <w:tr w:rsidR="001361ED" w:rsidRPr="001361ED">
        <w:tblPrEx>
          <w:tblCellMar>
            <w:top w:w="0" w:type="dxa"/>
            <w:bottom w:w="0" w:type="dxa"/>
          </w:tblCellMar>
        </w:tblPrEx>
        <w:tc>
          <w:tcPr>
            <w:tcW w:w="3879" w:type="dxa"/>
          </w:tcPr>
          <w:p w:rsidR="001361ED" w:rsidRPr="001361ED" w:rsidRDefault="00FB7FAF" w:rsidP="001361ED">
            <w:pPr>
              <w:widowControl w:val="0"/>
              <w:autoSpaceDE w:val="0"/>
              <w:autoSpaceDN w:val="0"/>
              <w:adjustRightInd w:val="0"/>
              <w:ind w:left="975"/>
            </w:pPr>
            <w:r>
              <w:t>1,001</w:t>
            </w:r>
            <w:r w:rsidR="001361ED" w:rsidRPr="001361ED">
              <w:t xml:space="preserve"> to 10,000</w:t>
            </w:r>
          </w:p>
        </w:tc>
        <w:tc>
          <w:tcPr>
            <w:tcW w:w="3588" w:type="dxa"/>
          </w:tcPr>
          <w:p w:rsidR="001361ED" w:rsidRPr="001361ED" w:rsidRDefault="001361ED" w:rsidP="001361ED">
            <w:pPr>
              <w:widowControl w:val="0"/>
              <w:autoSpaceDE w:val="0"/>
              <w:autoSpaceDN w:val="0"/>
              <w:adjustRightInd w:val="0"/>
              <w:ind w:left="288"/>
            </w:pPr>
            <w:r w:rsidRPr="001361ED">
              <w:t>530 meters (</w:t>
            </w:r>
            <w:r w:rsidR="00FB7FAF">
              <w:t>1,730</w:t>
            </w:r>
            <w:r w:rsidRPr="001361ED">
              <w:t xml:space="preserve"> feet)</w:t>
            </w:r>
          </w:p>
        </w:tc>
      </w:tr>
      <w:tr w:rsidR="001361ED">
        <w:tblPrEx>
          <w:tblCellMar>
            <w:top w:w="0" w:type="dxa"/>
            <w:bottom w:w="0" w:type="dxa"/>
          </w:tblCellMar>
        </w:tblPrEx>
        <w:tc>
          <w:tcPr>
            <w:tcW w:w="3879" w:type="dxa"/>
            <w:tcBorders>
              <w:bottom w:val="single" w:sz="4" w:space="0" w:color="auto"/>
            </w:tcBorders>
          </w:tcPr>
          <w:p w:rsidR="001361ED" w:rsidRPr="001361ED" w:rsidRDefault="001361ED" w:rsidP="001361ED">
            <w:pPr>
              <w:widowControl w:val="0"/>
              <w:autoSpaceDE w:val="0"/>
              <w:autoSpaceDN w:val="0"/>
              <w:adjustRightInd w:val="0"/>
              <w:ind w:left="975"/>
            </w:pPr>
            <w:r w:rsidRPr="001361ED">
              <w:t>10,001 to 30,000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1361ED" w:rsidRDefault="001361ED" w:rsidP="001361ED">
            <w:pPr>
              <w:widowControl w:val="0"/>
              <w:autoSpaceDE w:val="0"/>
              <w:autoSpaceDN w:val="0"/>
              <w:adjustRightInd w:val="0"/>
              <w:ind w:left="288"/>
            </w:pPr>
            <w:r w:rsidRPr="001361ED">
              <w:t>690 meters (</w:t>
            </w:r>
            <w:r w:rsidR="00FB7FAF">
              <w:t>2,260</w:t>
            </w:r>
            <w:r w:rsidRPr="001361ED">
              <w:t xml:space="preserve"> feet)</w:t>
            </w:r>
          </w:p>
        </w:tc>
      </w:tr>
    </w:tbl>
    <w:p w:rsidR="000276A2" w:rsidRDefault="000276A2" w:rsidP="001361ED">
      <w:pPr>
        <w:widowControl w:val="0"/>
        <w:autoSpaceDE w:val="0"/>
        <w:autoSpaceDN w:val="0"/>
        <w:adjustRightInd w:val="0"/>
      </w:pPr>
    </w:p>
    <w:p w:rsidR="00DA5B51" w:rsidRPr="00D55B37" w:rsidRDefault="00DA5B5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0E4AAF">
        <w:t>6389</w:t>
      </w:r>
      <w:r w:rsidRPr="00D55B37">
        <w:t xml:space="preserve">, effective </w:t>
      </w:r>
      <w:r w:rsidR="00047E72">
        <w:t>April 22, 2005</w:t>
      </w:r>
      <w:r w:rsidRPr="00D55B37">
        <w:t>)</w:t>
      </w:r>
    </w:p>
    <w:sectPr w:rsidR="00DA5B51" w:rsidRPr="00D55B37" w:rsidSect="000276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6A2"/>
    <w:rsid w:val="000276A2"/>
    <w:rsid w:val="00047E72"/>
    <w:rsid w:val="000E4AAF"/>
    <w:rsid w:val="000F39C0"/>
    <w:rsid w:val="001361ED"/>
    <w:rsid w:val="005C3366"/>
    <w:rsid w:val="00684A6B"/>
    <w:rsid w:val="009F646B"/>
    <w:rsid w:val="00AA6EF7"/>
    <w:rsid w:val="00BF6C44"/>
    <w:rsid w:val="00DA5B51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5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