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0A5E" w:rsidRDefault="00AD0A5E" w:rsidP="00AD0A5E">
      <w:pPr>
        <w:widowControl w:val="0"/>
        <w:autoSpaceDE w:val="0"/>
        <w:autoSpaceDN w:val="0"/>
        <w:adjustRightInd w:val="0"/>
      </w:pPr>
    </w:p>
    <w:p w:rsidR="00AD0A5E" w:rsidRDefault="00AD0A5E" w:rsidP="00AD0A5E">
      <w:pPr>
        <w:widowControl w:val="0"/>
        <w:autoSpaceDE w:val="0"/>
        <w:autoSpaceDN w:val="0"/>
        <w:adjustRightInd w:val="0"/>
      </w:pPr>
      <w:r>
        <w:rPr>
          <w:b/>
          <w:bCs/>
        </w:rPr>
        <w:t>Section 725.192  Sampling and Analysis</w:t>
      </w:r>
      <w:r>
        <w:t xml:space="preserve"> </w:t>
      </w:r>
    </w:p>
    <w:p w:rsidR="00AD0A5E" w:rsidRDefault="00AD0A5E" w:rsidP="00AD0A5E">
      <w:pPr>
        <w:widowControl w:val="0"/>
        <w:autoSpaceDE w:val="0"/>
        <w:autoSpaceDN w:val="0"/>
        <w:adjustRightInd w:val="0"/>
      </w:pPr>
    </w:p>
    <w:p w:rsidR="00AD0A5E" w:rsidRDefault="00AD0A5E" w:rsidP="00AD0A5E">
      <w:pPr>
        <w:widowControl w:val="0"/>
        <w:autoSpaceDE w:val="0"/>
        <w:autoSpaceDN w:val="0"/>
        <w:adjustRightInd w:val="0"/>
        <w:ind w:left="1440" w:hanging="720"/>
      </w:pPr>
      <w:r>
        <w:t>a)</w:t>
      </w:r>
      <w:r>
        <w:tab/>
        <w:t xml:space="preserve">The owner or operator </w:t>
      </w:r>
      <w:r w:rsidR="00DC277C">
        <w:t>must</w:t>
      </w:r>
      <w:r>
        <w:t xml:space="preserve"> obtain and analyze samples from the installed groundwater monitoring system.  The owner or operator </w:t>
      </w:r>
      <w:r w:rsidR="00DC277C">
        <w:t>must</w:t>
      </w:r>
      <w:r>
        <w:t xml:space="preserve"> develop and follow a groundwater sampling and analysis plan. The owner or operator </w:t>
      </w:r>
      <w:r w:rsidR="00DC277C">
        <w:t>must</w:t>
      </w:r>
      <w:r>
        <w:t xml:space="preserve"> keep this plan at the facility.  The plan must include procedures and techniques for</w:t>
      </w:r>
      <w:r w:rsidR="00DC277C">
        <w:t xml:space="preserve"> each of the following</w:t>
      </w:r>
      <w:r>
        <w:t xml:space="preserve">: </w:t>
      </w:r>
    </w:p>
    <w:p w:rsidR="004702E0" w:rsidRDefault="004702E0" w:rsidP="00327E77">
      <w:pPr>
        <w:widowControl w:val="0"/>
        <w:autoSpaceDE w:val="0"/>
        <w:autoSpaceDN w:val="0"/>
        <w:adjustRightInd w:val="0"/>
      </w:pPr>
    </w:p>
    <w:p w:rsidR="00AD0A5E" w:rsidRDefault="00AD0A5E" w:rsidP="00AD0A5E">
      <w:pPr>
        <w:widowControl w:val="0"/>
        <w:autoSpaceDE w:val="0"/>
        <w:autoSpaceDN w:val="0"/>
        <w:adjustRightInd w:val="0"/>
        <w:ind w:left="2160" w:hanging="720"/>
      </w:pPr>
      <w:r>
        <w:t>1)</w:t>
      </w:r>
      <w:r>
        <w:tab/>
        <w:t xml:space="preserve">Sample collection; </w:t>
      </w:r>
    </w:p>
    <w:p w:rsidR="004702E0" w:rsidRDefault="004702E0" w:rsidP="00327E77">
      <w:pPr>
        <w:widowControl w:val="0"/>
        <w:autoSpaceDE w:val="0"/>
        <w:autoSpaceDN w:val="0"/>
        <w:adjustRightInd w:val="0"/>
      </w:pPr>
    </w:p>
    <w:p w:rsidR="00AD0A5E" w:rsidRDefault="00AD0A5E" w:rsidP="00AD0A5E">
      <w:pPr>
        <w:widowControl w:val="0"/>
        <w:autoSpaceDE w:val="0"/>
        <w:autoSpaceDN w:val="0"/>
        <w:adjustRightInd w:val="0"/>
        <w:ind w:left="2160" w:hanging="720"/>
      </w:pPr>
      <w:r>
        <w:t>2)</w:t>
      </w:r>
      <w:r>
        <w:tab/>
        <w:t xml:space="preserve">Sample preservation and shipment; </w:t>
      </w:r>
    </w:p>
    <w:p w:rsidR="004702E0" w:rsidRDefault="004702E0" w:rsidP="00327E77">
      <w:pPr>
        <w:widowControl w:val="0"/>
        <w:autoSpaceDE w:val="0"/>
        <w:autoSpaceDN w:val="0"/>
        <w:adjustRightInd w:val="0"/>
      </w:pPr>
    </w:p>
    <w:p w:rsidR="00AD0A5E" w:rsidRDefault="00AD0A5E" w:rsidP="00AD0A5E">
      <w:pPr>
        <w:widowControl w:val="0"/>
        <w:autoSpaceDE w:val="0"/>
        <w:autoSpaceDN w:val="0"/>
        <w:adjustRightInd w:val="0"/>
        <w:ind w:left="2160" w:hanging="720"/>
      </w:pPr>
      <w:r>
        <w:t>3)</w:t>
      </w:r>
      <w:r>
        <w:tab/>
        <w:t xml:space="preserve">Analytical procedures; and </w:t>
      </w:r>
    </w:p>
    <w:p w:rsidR="004702E0" w:rsidRDefault="004702E0" w:rsidP="00327E77">
      <w:pPr>
        <w:widowControl w:val="0"/>
        <w:autoSpaceDE w:val="0"/>
        <w:autoSpaceDN w:val="0"/>
        <w:adjustRightInd w:val="0"/>
      </w:pPr>
    </w:p>
    <w:p w:rsidR="00AD0A5E" w:rsidRDefault="00AD0A5E" w:rsidP="00AD0A5E">
      <w:pPr>
        <w:widowControl w:val="0"/>
        <w:autoSpaceDE w:val="0"/>
        <w:autoSpaceDN w:val="0"/>
        <w:adjustRightInd w:val="0"/>
        <w:ind w:left="2160" w:hanging="720"/>
      </w:pPr>
      <w:r>
        <w:t>4)</w:t>
      </w:r>
      <w:r>
        <w:tab/>
        <w:t xml:space="preserve">Chain of custody control. </w:t>
      </w:r>
    </w:p>
    <w:p w:rsidR="004702E0" w:rsidRDefault="004702E0" w:rsidP="00327E77">
      <w:pPr>
        <w:widowControl w:val="0"/>
        <w:autoSpaceDE w:val="0"/>
        <w:autoSpaceDN w:val="0"/>
        <w:adjustRightInd w:val="0"/>
      </w:pPr>
    </w:p>
    <w:p w:rsidR="00AD0A5E" w:rsidRDefault="00AD0A5E" w:rsidP="007533BF">
      <w:pPr>
        <w:widowControl w:val="0"/>
        <w:autoSpaceDE w:val="0"/>
        <w:autoSpaceDN w:val="0"/>
        <w:adjustRightInd w:val="0"/>
        <w:ind w:left="1440"/>
      </w:pPr>
      <w:r>
        <w:t xml:space="preserve">BOARD NOTE:  See "Procedures Manual For </w:t>
      </w:r>
      <w:r w:rsidR="00B26FDC">
        <w:t>Ground Water</w:t>
      </w:r>
      <w:r w:rsidR="00215EF7">
        <w:t xml:space="preserve"> </w:t>
      </w:r>
      <w:r>
        <w:t>Monitoring At Solid Waste Disposal Facilities"</w:t>
      </w:r>
      <w:r w:rsidR="00297CE7">
        <w:t>,</w:t>
      </w:r>
      <w:r>
        <w:t xml:space="preserve"> </w:t>
      </w:r>
      <w:r w:rsidR="00B26FDC">
        <w:t>USEPA document number EPA</w:t>
      </w:r>
      <w:r w:rsidR="006C208E">
        <w:t>-</w:t>
      </w:r>
      <w:r w:rsidR="00B26FDC">
        <w:t>530/</w:t>
      </w:r>
      <w:r w:rsidR="007533BF">
        <w:t>S</w:t>
      </w:r>
      <w:r w:rsidR="00760D13">
        <w:t>W</w:t>
      </w:r>
      <w:r w:rsidR="007533BF">
        <w:t>-</w:t>
      </w:r>
      <w:r w:rsidR="00B26FDC">
        <w:t xml:space="preserve">611, </w:t>
      </w:r>
      <w:r>
        <w:t>and "Methods for Chemical Analysis of Water and Wastes"</w:t>
      </w:r>
      <w:r w:rsidR="00297CE7">
        <w:t>,</w:t>
      </w:r>
      <w:r>
        <w:t xml:space="preserve"> </w:t>
      </w:r>
      <w:r w:rsidR="00B26FDC">
        <w:t>USEPA document number EPA</w:t>
      </w:r>
      <w:r w:rsidR="006C208E">
        <w:t>-</w:t>
      </w:r>
      <w:r w:rsidR="00B26FDC">
        <w:t xml:space="preserve">600/4-79-020, </w:t>
      </w:r>
      <w:r>
        <w:t>incorporated by reference in 35 Ill. Adm. Code 720.111</w:t>
      </w:r>
      <w:r w:rsidR="00DC277C">
        <w:t>(a)</w:t>
      </w:r>
      <w:r>
        <w:t xml:space="preserve">, for discussions of sampling and analysis procedures. </w:t>
      </w:r>
    </w:p>
    <w:p w:rsidR="004702E0" w:rsidRDefault="004702E0" w:rsidP="00327E77">
      <w:pPr>
        <w:widowControl w:val="0"/>
        <w:autoSpaceDE w:val="0"/>
        <w:autoSpaceDN w:val="0"/>
        <w:adjustRightInd w:val="0"/>
      </w:pPr>
    </w:p>
    <w:p w:rsidR="00AD0A5E" w:rsidRDefault="00AD0A5E" w:rsidP="00AD0A5E">
      <w:pPr>
        <w:widowControl w:val="0"/>
        <w:autoSpaceDE w:val="0"/>
        <w:autoSpaceDN w:val="0"/>
        <w:adjustRightInd w:val="0"/>
        <w:ind w:left="1440" w:hanging="720"/>
      </w:pPr>
      <w:r>
        <w:t>b)</w:t>
      </w:r>
      <w:r>
        <w:tab/>
        <w:t xml:space="preserve">The owner or operator </w:t>
      </w:r>
      <w:r w:rsidR="00DC277C">
        <w:t>must</w:t>
      </w:r>
      <w:r>
        <w:t xml:space="preserve"> determine the concentration or value of the following parameters in groundwater samples in accordance with subsections (c) and (d): </w:t>
      </w:r>
    </w:p>
    <w:p w:rsidR="004702E0" w:rsidRDefault="004702E0" w:rsidP="00327E77">
      <w:pPr>
        <w:widowControl w:val="0"/>
        <w:autoSpaceDE w:val="0"/>
        <w:autoSpaceDN w:val="0"/>
        <w:adjustRightInd w:val="0"/>
      </w:pPr>
    </w:p>
    <w:p w:rsidR="00AD0A5E" w:rsidRDefault="00AD0A5E" w:rsidP="00AD0A5E">
      <w:pPr>
        <w:widowControl w:val="0"/>
        <w:autoSpaceDE w:val="0"/>
        <w:autoSpaceDN w:val="0"/>
        <w:adjustRightInd w:val="0"/>
        <w:ind w:left="2160" w:hanging="720"/>
      </w:pPr>
      <w:r>
        <w:t>1)</w:t>
      </w:r>
      <w:r>
        <w:tab/>
        <w:t xml:space="preserve">Parameters characterizing the suitability of the groundwater as a drinking water supply, as specified in Appendix C. </w:t>
      </w:r>
    </w:p>
    <w:p w:rsidR="004702E0" w:rsidRDefault="004702E0" w:rsidP="00327E77">
      <w:pPr>
        <w:widowControl w:val="0"/>
        <w:autoSpaceDE w:val="0"/>
        <w:autoSpaceDN w:val="0"/>
        <w:adjustRightInd w:val="0"/>
      </w:pPr>
    </w:p>
    <w:p w:rsidR="00AD0A5E" w:rsidRDefault="00AD0A5E" w:rsidP="00AD0A5E">
      <w:pPr>
        <w:widowControl w:val="0"/>
        <w:autoSpaceDE w:val="0"/>
        <w:autoSpaceDN w:val="0"/>
        <w:adjustRightInd w:val="0"/>
        <w:ind w:left="2160" w:hanging="720"/>
      </w:pPr>
      <w:r>
        <w:t>2)</w:t>
      </w:r>
      <w:r>
        <w:tab/>
      </w:r>
      <w:r w:rsidR="00DC277C">
        <w:t>The following parameters establishing</w:t>
      </w:r>
      <w:r>
        <w:t xml:space="preserve"> groundwater quality: </w:t>
      </w:r>
    </w:p>
    <w:p w:rsidR="004702E0" w:rsidRDefault="004702E0" w:rsidP="00327E77">
      <w:pPr>
        <w:widowControl w:val="0"/>
        <w:autoSpaceDE w:val="0"/>
        <w:autoSpaceDN w:val="0"/>
        <w:adjustRightInd w:val="0"/>
      </w:pPr>
    </w:p>
    <w:p w:rsidR="00AD0A5E" w:rsidRDefault="00AD0A5E" w:rsidP="00AD0A5E">
      <w:pPr>
        <w:widowControl w:val="0"/>
        <w:autoSpaceDE w:val="0"/>
        <w:autoSpaceDN w:val="0"/>
        <w:adjustRightInd w:val="0"/>
        <w:ind w:left="2880" w:hanging="720"/>
      </w:pPr>
      <w:r>
        <w:t>A)</w:t>
      </w:r>
      <w:r>
        <w:tab/>
        <w:t xml:space="preserve">Chloride, </w:t>
      </w:r>
    </w:p>
    <w:p w:rsidR="004702E0" w:rsidRDefault="004702E0" w:rsidP="00327E77">
      <w:pPr>
        <w:widowControl w:val="0"/>
        <w:autoSpaceDE w:val="0"/>
        <w:autoSpaceDN w:val="0"/>
        <w:adjustRightInd w:val="0"/>
      </w:pPr>
    </w:p>
    <w:p w:rsidR="00AD0A5E" w:rsidRDefault="00AD0A5E" w:rsidP="00AD0A5E">
      <w:pPr>
        <w:widowControl w:val="0"/>
        <w:autoSpaceDE w:val="0"/>
        <w:autoSpaceDN w:val="0"/>
        <w:adjustRightInd w:val="0"/>
        <w:ind w:left="2880" w:hanging="720"/>
      </w:pPr>
      <w:r>
        <w:t>B)</w:t>
      </w:r>
      <w:r>
        <w:tab/>
        <w:t xml:space="preserve">Iron, </w:t>
      </w:r>
    </w:p>
    <w:p w:rsidR="004702E0" w:rsidRDefault="004702E0" w:rsidP="00327E77">
      <w:pPr>
        <w:widowControl w:val="0"/>
        <w:autoSpaceDE w:val="0"/>
        <w:autoSpaceDN w:val="0"/>
        <w:adjustRightInd w:val="0"/>
      </w:pPr>
    </w:p>
    <w:p w:rsidR="00AD0A5E" w:rsidRDefault="00AD0A5E" w:rsidP="00AD0A5E">
      <w:pPr>
        <w:widowControl w:val="0"/>
        <w:autoSpaceDE w:val="0"/>
        <w:autoSpaceDN w:val="0"/>
        <w:adjustRightInd w:val="0"/>
        <w:ind w:left="2880" w:hanging="720"/>
      </w:pPr>
      <w:r>
        <w:t>C)</w:t>
      </w:r>
      <w:r>
        <w:tab/>
        <w:t xml:space="preserve">Manganese, </w:t>
      </w:r>
    </w:p>
    <w:p w:rsidR="004702E0" w:rsidRDefault="004702E0" w:rsidP="00327E77">
      <w:pPr>
        <w:widowControl w:val="0"/>
        <w:autoSpaceDE w:val="0"/>
        <w:autoSpaceDN w:val="0"/>
        <w:adjustRightInd w:val="0"/>
      </w:pPr>
    </w:p>
    <w:p w:rsidR="00AD0A5E" w:rsidRDefault="00AD0A5E" w:rsidP="00AD0A5E">
      <w:pPr>
        <w:widowControl w:val="0"/>
        <w:autoSpaceDE w:val="0"/>
        <w:autoSpaceDN w:val="0"/>
        <w:adjustRightInd w:val="0"/>
        <w:ind w:left="2880" w:hanging="720"/>
      </w:pPr>
      <w:r>
        <w:t>D)</w:t>
      </w:r>
      <w:r>
        <w:tab/>
        <w:t xml:space="preserve">Phenols, </w:t>
      </w:r>
    </w:p>
    <w:p w:rsidR="004702E0" w:rsidRDefault="004702E0" w:rsidP="00327E77">
      <w:pPr>
        <w:widowControl w:val="0"/>
        <w:autoSpaceDE w:val="0"/>
        <w:autoSpaceDN w:val="0"/>
        <w:adjustRightInd w:val="0"/>
      </w:pPr>
    </w:p>
    <w:p w:rsidR="00AD0A5E" w:rsidRDefault="00AD0A5E" w:rsidP="00AD0A5E">
      <w:pPr>
        <w:widowControl w:val="0"/>
        <w:autoSpaceDE w:val="0"/>
        <w:autoSpaceDN w:val="0"/>
        <w:adjustRightInd w:val="0"/>
        <w:ind w:left="2880" w:hanging="720"/>
      </w:pPr>
      <w:r>
        <w:t>E)</w:t>
      </w:r>
      <w:r>
        <w:tab/>
        <w:t xml:space="preserve">Sodium, and </w:t>
      </w:r>
    </w:p>
    <w:p w:rsidR="004702E0" w:rsidRDefault="004702E0" w:rsidP="00327E77">
      <w:pPr>
        <w:widowControl w:val="0"/>
        <w:autoSpaceDE w:val="0"/>
        <w:autoSpaceDN w:val="0"/>
        <w:adjustRightInd w:val="0"/>
      </w:pPr>
    </w:p>
    <w:p w:rsidR="00AD0A5E" w:rsidRDefault="00AD0A5E" w:rsidP="00AD0A5E">
      <w:pPr>
        <w:widowControl w:val="0"/>
        <w:autoSpaceDE w:val="0"/>
        <w:autoSpaceDN w:val="0"/>
        <w:adjustRightInd w:val="0"/>
        <w:ind w:left="2880" w:hanging="720"/>
      </w:pPr>
      <w:r>
        <w:t>F)</w:t>
      </w:r>
      <w:r>
        <w:tab/>
        <w:t xml:space="preserve">Sulfate. </w:t>
      </w:r>
    </w:p>
    <w:p w:rsidR="004702E0" w:rsidRDefault="004702E0" w:rsidP="00327E77">
      <w:pPr>
        <w:widowControl w:val="0"/>
        <w:autoSpaceDE w:val="0"/>
        <w:autoSpaceDN w:val="0"/>
        <w:adjustRightInd w:val="0"/>
      </w:pPr>
    </w:p>
    <w:p w:rsidR="00AD0A5E" w:rsidRDefault="00AD0A5E" w:rsidP="00942E46">
      <w:pPr>
        <w:widowControl w:val="0"/>
        <w:autoSpaceDE w:val="0"/>
        <w:autoSpaceDN w:val="0"/>
        <w:adjustRightInd w:val="0"/>
        <w:ind w:left="2160"/>
      </w:pPr>
      <w:r>
        <w:t xml:space="preserve">BOARD NOTE:  These parameters are to be used as a basis for comparison in the event a groundwater quality assessment is required under Section 725.193(d). </w:t>
      </w:r>
    </w:p>
    <w:p w:rsidR="004702E0" w:rsidRDefault="004702E0" w:rsidP="00327E77">
      <w:pPr>
        <w:widowControl w:val="0"/>
        <w:autoSpaceDE w:val="0"/>
        <w:autoSpaceDN w:val="0"/>
        <w:adjustRightInd w:val="0"/>
      </w:pPr>
    </w:p>
    <w:p w:rsidR="00AD0A5E" w:rsidRDefault="00AD0A5E" w:rsidP="00AD0A5E">
      <w:pPr>
        <w:widowControl w:val="0"/>
        <w:autoSpaceDE w:val="0"/>
        <w:autoSpaceDN w:val="0"/>
        <w:adjustRightInd w:val="0"/>
        <w:ind w:left="2160" w:hanging="720"/>
      </w:pPr>
      <w:r>
        <w:t>3)</w:t>
      </w:r>
      <w:r>
        <w:tab/>
      </w:r>
      <w:r w:rsidR="00DC277C">
        <w:t>The following parameters</w:t>
      </w:r>
      <w:r>
        <w:t xml:space="preserve"> used as indicators of groundwater contamination: </w:t>
      </w:r>
    </w:p>
    <w:p w:rsidR="004702E0" w:rsidRDefault="004702E0" w:rsidP="00327E77">
      <w:pPr>
        <w:widowControl w:val="0"/>
        <w:autoSpaceDE w:val="0"/>
        <w:autoSpaceDN w:val="0"/>
        <w:adjustRightInd w:val="0"/>
      </w:pPr>
    </w:p>
    <w:p w:rsidR="00AD0A5E" w:rsidRDefault="00AD0A5E" w:rsidP="00AD0A5E">
      <w:pPr>
        <w:widowControl w:val="0"/>
        <w:autoSpaceDE w:val="0"/>
        <w:autoSpaceDN w:val="0"/>
        <w:adjustRightInd w:val="0"/>
        <w:ind w:left="2880" w:hanging="720"/>
      </w:pPr>
      <w:r>
        <w:t>A)</w:t>
      </w:r>
      <w:r>
        <w:tab/>
        <w:t xml:space="preserve">pH, </w:t>
      </w:r>
    </w:p>
    <w:p w:rsidR="004702E0" w:rsidRDefault="004702E0" w:rsidP="00327E77">
      <w:pPr>
        <w:widowControl w:val="0"/>
        <w:autoSpaceDE w:val="0"/>
        <w:autoSpaceDN w:val="0"/>
        <w:adjustRightInd w:val="0"/>
      </w:pPr>
    </w:p>
    <w:p w:rsidR="00AD0A5E" w:rsidRDefault="00AD0A5E" w:rsidP="00AD0A5E">
      <w:pPr>
        <w:widowControl w:val="0"/>
        <w:autoSpaceDE w:val="0"/>
        <w:autoSpaceDN w:val="0"/>
        <w:adjustRightInd w:val="0"/>
        <w:ind w:left="2880" w:hanging="720"/>
      </w:pPr>
      <w:r>
        <w:t>B)</w:t>
      </w:r>
      <w:r>
        <w:tab/>
        <w:t xml:space="preserve">Specific Conductance, </w:t>
      </w:r>
    </w:p>
    <w:p w:rsidR="004702E0" w:rsidRDefault="004702E0" w:rsidP="00327E77">
      <w:pPr>
        <w:widowControl w:val="0"/>
        <w:autoSpaceDE w:val="0"/>
        <w:autoSpaceDN w:val="0"/>
        <w:adjustRightInd w:val="0"/>
      </w:pPr>
    </w:p>
    <w:p w:rsidR="00AD0A5E" w:rsidRDefault="00AD0A5E" w:rsidP="00AD0A5E">
      <w:pPr>
        <w:widowControl w:val="0"/>
        <w:autoSpaceDE w:val="0"/>
        <w:autoSpaceDN w:val="0"/>
        <w:adjustRightInd w:val="0"/>
        <w:ind w:left="2880" w:hanging="720"/>
      </w:pPr>
      <w:r>
        <w:t>C)</w:t>
      </w:r>
      <w:r>
        <w:tab/>
        <w:t xml:space="preserve">Total Organic Carbon, and </w:t>
      </w:r>
    </w:p>
    <w:p w:rsidR="004702E0" w:rsidRDefault="004702E0" w:rsidP="00327E77">
      <w:pPr>
        <w:widowControl w:val="0"/>
        <w:autoSpaceDE w:val="0"/>
        <w:autoSpaceDN w:val="0"/>
        <w:adjustRightInd w:val="0"/>
      </w:pPr>
    </w:p>
    <w:p w:rsidR="00AD0A5E" w:rsidRDefault="00AD0A5E" w:rsidP="00AD0A5E">
      <w:pPr>
        <w:widowControl w:val="0"/>
        <w:autoSpaceDE w:val="0"/>
        <w:autoSpaceDN w:val="0"/>
        <w:adjustRightInd w:val="0"/>
        <w:ind w:left="2880" w:hanging="720"/>
      </w:pPr>
      <w:r>
        <w:t>D)</w:t>
      </w:r>
      <w:r>
        <w:tab/>
        <w:t xml:space="preserve">Total Organic Halogen. </w:t>
      </w:r>
    </w:p>
    <w:p w:rsidR="004702E0" w:rsidRDefault="004702E0" w:rsidP="00327E77">
      <w:pPr>
        <w:widowControl w:val="0"/>
        <w:autoSpaceDE w:val="0"/>
        <w:autoSpaceDN w:val="0"/>
        <w:adjustRightInd w:val="0"/>
      </w:pPr>
    </w:p>
    <w:p w:rsidR="00AD0A5E" w:rsidRDefault="00AD0A5E" w:rsidP="00AD0A5E">
      <w:pPr>
        <w:widowControl w:val="0"/>
        <w:autoSpaceDE w:val="0"/>
        <w:autoSpaceDN w:val="0"/>
        <w:adjustRightInd w:val="0"/>
        <w:ind w:left="1440" w:hanging="720"/>
      </w:pPr>
      <w:r>
        <w:t>c)</w:t>
      </w:r>
      <w:r>
        <w:tab/>
        <w:t xml:space="preserve">Establishing </w:t>
      </w:r>
      <w:r w:rsidR="00D371EA">
        <w:t>Background Concentrations</w:t>
      </w:r>
      <w:r>
        <w:t xml:space="preserve"> </w:t>
      </w:r>
    </w:p>
    <w:p w:rsidR="004702E0" w:rsidRDefault="004702E0" w:rsidP="00327E77">
      <w:pPr>
        <w:widowControl w:val="0"/>
        <w:autoSpaceDE w:val="0"/>
        <w:autoSpaceDN w:val="0"/>
        <w:adjustRightInd w:val="0"/>
      </w:pPr>
    </w:p>
    <w:p w:rsidR="00AD0A5E" w:rsidRDefault="00AD0A5E" w:rsidP="00AD0A5E">
      <w:pPr>
        <w:widowControl w:val="0"/>
        <w:autoSpaceDE w:val="0"/>
        <w:autoSpaceDN w:val="0"/>
        <w:adjustRightInd w:val="0"/>
        <w:ind w:left="2160" w:hanging="720"/>
      </w:pPr>
      <w:r>
        <w:t>1)</w:t>
      </w:r>
      <w:r>
        <w:tab/>
        <w:t xml:space="preserve">For all monitoring wells, the owner or operator </w:t>
      </w:r>
      <w:r w:rsidR="00DC277C">
        <w:t>must</w:t>
      </w:r>
      <w:r>
        <w:t xml:space="preserve"> establish initial background concentrations or values of all parameters specified in subsection (b). The owner or operator </w:t>
      </w:r>
      <w:r w:rsidR="00DC277C">
        <w:t>must</w:t>
      </w:r>
      <w:r>
        <w:t xml:space="preserve"> do this quarterly for one year. </w:t>
      </w:r>
    </w:p>
    <w:p w:rsidR="004702E0" w:rsidRDefault="004702E0" w:rsidP="00327E77">
      <w:pPr>
        <w:widowControl w:val="0"/>
        <w:autoSpaceDE w:val="0"/>
        <w:autoSpaceDN w:val="0"/>
        <w:adjustRightInd w:val="0"/>
      </w:pPr>
    </w:p>
    <w:p w:rsidR="00AD0A5E" w:rsidRDefault="00AD0A5E" w:rsidP="00AD0A5E">
      <w:pPr>
        <w:widowControl w:val="0"/>
        <w:autoSpaceDE w:val="0"/>
        <w:autoSpaceDN w:val="0"/>
        <w:adjustRightInd w:val="0"/>
        <w:ind w:left="2160" w:hanging="720"/>
      </w:pPr>
      <w:r>
        <w:t>2)</w:t>
      </w:r>
      <w:r>
        <w:tab/>
        <w:t xml:space="preserve">For each of the indicator parameters specified in subsection (b)(3), the owner or operator </w:t>
      </w:r>
      <w:r w:rsidR="00DC277C">
        <w:t>must</w:t>
      </w:r>
      <w:r>
        <w:t xml:space="preserve"> obtain at least four replicate measurements for each sample and determine the initial background arithmetic mean and variance by pooling the replicate measurements for the respective parameter concentrations or values in samples obtained from upgradient wells during the first year. </w:t>
      </w:r>
    </w:p>
    <w:p w:rsidR="004702E0" w:rsidRDefault="004702E0" w:rsidP="00327E77">
      <w:pPr>
        <w:widowControl w:val="0"/>
        <w:autoSpaceDE w:val="0"/>
        <w:autoSpaceDN w:val="0"/>
        <w:adjustRightInd w:val="0"/>
      </w:pPr>
    </w:p>
    <w:p w:rsidR="00AD0A5E" w:rsidRDefault="00AD0A5E" w:rsidP="00AD0A5E">
      <w:pPr>
        <w:widowControl w:val="0"/>
        <w:autoSpaceDE w:val="0"/>
        <w:autoSpaceDN w:val="0"/>
        <w:adjustRightInd w:val="0"/>
        <w:ind w:left="1440" w:hanging="720"/>
      </w:pPr>
      <w:r>
        <w:t>d)</w:t>
      </w:r>
      <w:r>
        <w:tab/>
        <w:t xml:space="preserve">After the first year, the owner or operator </w:t>
      </w:r>
      <w:r w:rsidR="00DC277C">
        <w:t>must</w:t>
      </w:r>
      <w:r>
        <w:t xml:space="preserve"> sample all monitoring wells and analyze the samples with the following frequencies: </w:t>
      </w:r>
    </w:p>
    <w:p w:rsidR="004702E0" w:rsidRDefault="004702E0" w:rsidP="00327E77">
      <w:pPr>
        <w:widowControl w:val="0"/>
        <w:autoSpaceDE w:val="0"/>
        <w:autoSpaceDN w:val="0"/>
        <w:adjustRightInd w:val="0"/>
      </w:pPr>
    </w:p>
    <w:p w:rsidR="00AD0A5E" w:rsidRDefault="00AD0A5E" w:rsidP="00AD0A5E">
      <w:pPr>
        <w:widowControl w:val="0"/>
        <w:autoSpaceDE w:val="0"/>
        <w:autoSpaceDN w:val="0"/>
        <w:adjustRightInd w:val="0"/>
        <w:ind w:left="2160" w:hanging="720"/>
      </w:pPr>
      <w:r>
        <w:t>1)</w:t>
      </w:r>
      <w:r>
        <w:tab/>
        <w:t xml:space="preserve">Samples collected to establish groundwater quality must be obtained and analyzed for the parameters specified in subsection (b)(2) at least annually. </w:t>
      </w:r>
    </w:p>
    <w:p w:rsidR="004702E0" w:rsidRDefault="004702E0" w:rsidP="00327E77">
      <w:pPr>
        <w:widowControl w:val="0"/>
        <w:autoSpaceDE w:val="0"/>
        <w:autoSpaceDN w:val="0"/>
        <w:adjustRightInd w:val="0"/>
      </w:pPr>
    </w:p>
    <w:p w:rsidR="00AD0A5E" w:rsidRDefault="00AD0A5E" w:rsidP="00AD0A5E">
      <w:pPr>
        <w:widowControl w:val="0"/>
        <w:autoSpaceDE w:val="0"/>
        <w:autoSpaceDN w:val="0"/>
        <w:adjustRightInd w:val="0"/>
        <w:ind w:left="2160" w:hanging="720"/>
      </w:pPr>
      <w:r>
        <w:t>2)</w:t>
      </w:r>
      <w:r>
        <w:tab/>
        <w:t xml:space="preserve">Samples collected to indicate groundwater contamination must be obtained and analyzed for the parameters specified in subsection (b)(3) at least semi-annually. </w:t>
      </w:r>
    </w:p>
    <w:p w:rsidR="004702E0" w:rsidRDefault="004702E0" w:rsidP="00327E77">
      <w:pPr>
        <w:widowControl w:val="0"/>
        <w:autoSpaceDE w:val="0"/>
        <w:autoSpaceDN w:val="0"/>
        <w:adjustRightInd w:val="0"/>
      </w:pPr>
    </w:p>
    <w:p w:rsidR="00AD0A5E" w:rsidRDefault="00AD0A5E" w:rsidP="00AD0A5E">
      <w:pPr>
        <w:widowControl w:val="0"/>
        <w:autoSpaceDE w:val="0"/>
        <w:autoSpaceDN w:val="0"/>
        <w:adjustRightInd w:val="0"/>
        <w:ind w:left="1440" w:hanging="720"/>
      </w:pPr>
      <w:r>
        <w:t>e)</w:t>
      </w:r>
      <w:r>
        <w:tab/>
        <w:t xml:space="preserve">The owner or operator </w:t>
      </w:r>
      <w:r w:rsidR="00DC277C">
        <w:t>must</w:t>
      </w:r>
      <w:r>
        <w:t xml:space="preserve"> determine the elevation of the groundwater surface at each monitoring well each time a sample is obtained. </w:t>
      </w:r>
    </w:p>
    <w:p w:rsidR="00AD0A5E" w:rsidRDefault="00AD0A5E" w:rsidP="00327E77">
      <w:pPr>
        <w:widowControl w:val="0"/>
        <w:autoSpaceDE w:val="0"/>
        <w:autoSpaceDN w:val="0"/>
        <w:adjustRightInd w:val="0"/>
      </w:pPr>
    </w:p>
    <w:p w:rsidR="00B26FDC" w:rsidRPr="00D55B37" w:rsidRDefault="00297CE7">
      <w:pPr>
        <w:pStyle w:val="JCARSourceNote"/>
        <w:ind w:left="720"/>
      </w:pPr>
      <w:r>
        <w:t xml:space="preserve">(Source:  Amended at 42 Ill. Reg. </w:t>
      </w:r>
      <w:r w:rsidR="00215400">
        <w:t>23725</w:t>
      </w:r>
      <w:r>
        <w:t xml:space="preserve">, effective </w:t>
      </w:r>
      <w:bookmarkStart w:id="0" w:name="_GoBack"/>
      <w:r w:rsidR="00215400">
        <w:t>November 19, 2018</w:t>
      </w:r>
      <w:bookmarkEnd w:id="0"/>
      <w:r>
        <w:t>)</w:t>
      </w:r>
    </w:p>
    <w:sectPr w:rsidR="00B26FDC" w:rsidRPr="00D55B37" w:rsidSect="00AD0A5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D0A5E"/>
    <w:rsid w:val="00215400"/>
    <w:rsid w:val="00215EF7"/>
    <w:rsid w:val="002777B7"/>
    <w:rsid w:val="00297CE7"/>
    <w:rsid w:val="00300775"/>
    <w:rsid w:val="00327E77"/>
    <w:rsid w:val="0043213F"/>
    <w:rsid w:val="004702E0"/>
    <w:rsid w:val="004D77DC"/>
    <w:rsid w:val="005C3366"/>
    <w:rsid w:val="006421CD"/>
    <w:rsid w:val="006C208E"/>
    <w:rsid w:val="007533BF"/>
    <w:rsid w:val="007566DB"/>
    <w:rsid w:val="00760D13"/>
    <w:rsid w:val="00942E46"/>
    <w:rsid w:val="00962897"/>
    <w:rsid w:val="00A66B6D"/>
    <w:rsid w:val="00AD0A5E"/>
    <w:rsid w:val="00B26FDC"/>
    <w:rsid w:val="00B86064"/>
    <w:rsid w:val="00D371EA"/>
    <w:rsid w:val="00D45E60"/>
    <w:rsid w:val="00DC277C"/>
    <w:rsid w:val="00E154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C5BDD8FD-0EE0-419F-ACE5-F23097CF1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DC27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437</Words>
  <Characters>2495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Section 725</vt:lpstr>
    </vt:vector>
  </TitlesOfParts>
  <Company>State of Illinois</Company>
  <LinksUpToDate>false</LinksUpToDate>
  <CharactersWithSpaces>2927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725</dc:title>
  <dc:subject/>
  <dc:creator>Illinois General Assembly</dc:creator>
  <cp:keywords/>
  <dc:description/>
  <cp:lastModifiedBy>Lane, Arlene L.</cp:lastModifiedBy>
  <cp:revision>4</cp:revision>
  <dcterms:created xsi:type="dcterms:W3CDTF">2018-12-18T18:19:00Z</dcterms:created>
  <dcterms:modified xsi:type="dcterms:W3CDTF">2018-12-19T15:38:00Z</dcterms:modified>
</cp:coreProperties>
</file>