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983" w:rsidRDefault="003D1983" w:rsidP="00273A07">
      <w:pPr>
        <w:widowControl w:val="0"/>
        <w:autoSpaceDE w:val="0"/>
        <w:autoSpaceDN w:val="0"/>
        <w:adjustRightInd w:val="0"/>
      </w:pPr>
    </w:p>
    <w:p w:rsidR="003D1983" w:rsidRDefault="003D1983" w:rsidP="00273A07">
      <w:pPr>
        <w:widowControl w:val="0"/>
        <w:autoSpaceDE w:val="0"/>
        <w:autoSpaceDN w:val="0"/>
        <w:adjustRightInd w:val="0"/>
      </w:pPr>
      <w:r>
        <w:rPr>
          <w:b/>
          <w:bCs/>
        </w:rPr>
        <w:t>Section 724.443  Performance Standards</w:t>
      </w:r>
      <w:r>
        <w:t xml:space="preserve"> </w:t>
      </w:r>
    </w:p>
    <w:p w:rsidR="003D1983" w:rsidRDefault="003D1983" w:rsidP="00273A07">
      <w:pPr>
        <w:widowControl w:val="0"/>
        <w:autoSpaceDE w:val="0"/>
        <w:autoSpaceDN w:val="0"/>
        <w:adjustRightInd w:val="0"/>
      </w:pPr>
    </w:p>
    <w:p w:rsidR="003D1983" w:rsidRDefault="003D1983" w:rsidP="00273A07">
      <w:pPr>
        <w:widowControl w:val="0"/>
        <w:autoSpaceDE w:val="0"/>
        <w:autoSpaceDN w:val="0"/>
        <w:adjustRightInd w:val="0"/>
      </w:pPr>
      <w:r>
        <w:t>An incinerator burning hazardous waste must be designed, constructed</w:t>
      </w:r>
      <w:r w:rsidR="0051316B">
        <w:t>,</w:t>
      </w:r>
      <w:r>
        <w:t xml:space="preserve"> and maintained so that, when operated in accordance with operating requirements specified under Section 724.445, it will meet the following performance standards: </w:t>
      </w:r>
    </w:p>
    <w:p w:rsidR="0071763F" w:rsidRDefault="0071763F" w:rsidP="00273A07">
      <w:pPr>
        <w:widowControl w:val="0"/>
        <w:autoSpaceDE w:val="0"/>
        <w:autoSpaceDN w:val="0"/>
        <w:adjustRightInd w:val="0"/>
      </w:pPr>
    </w:p>
    <w:p w:rsidR="003D1983" w:rsidRDefault="003D1983" w:rsidP="00273A07">
      <w:pPr>
        <w:widowControl w:val="0"/>
        <w:autoSpaceDE w:val="0"/>
        <w:autoSpaceDN w:val="0"/>
        <w:adjustRightInd w:val="0"/>
        <w:ind w:left="1440" w:hanging="720"/>
      </w:pPr>
      <w:r>
        <w:t>a)</w:t>
      </w:r>
      <w:r w:rsidR="000A44FB">
        <w:tab/>
        <w:t xml:space="preserve">Destruction and </w:t>
      </w:r>
      <w:r w:rsidR="004E4295">
        <w:t>Removal Efficiency</w:t>
      </w:r>
    </w:p>
    <w:p w:rsidR="0071763F" w:rsidRDefault="0071763F" w:rsidP="00BF11CB">
      <w:pPr>
        <w:widowControl w:val="0"/>
        <w:autoSpaceDE w:val="0"/>
        <w:autoSpaceDN w:val="0"/>
        <w:adjustRightInd w:val="0"/>
      </w:pPr>
    </w:p>
    <w:p w:rsidR="003D1983" w:rsidRDefault="003D1983" w:rsidP="00273A07">
      <w:pPr>
        <w:widowControl w:val="0"/>
        <w:autoSpaceDE w:val="0"/>
        <w:autoSpaceDN w:val="0"/>
        <w:adjustRightInd w:val="0"/>
        <w:ind w:left="2160" w:hanging="720"/>
      </w:pPr>
      <w:r>
        <w:t>1)</w:t>
      </w:r>
      <w:r>
        <w:tab/>
        <w:t xml:space="preserve">Except as provided in </w:t>
      </w:r>
      <w:r w:rsidR="000A44FB">
        <w:t xml:space="preserve">subsection </w:t>
      </w:r>
      <w:r>
        <w:t xml:space="preserve">(a)(2), an incinerator burning hazardous waste must achieve a destruction and removal efficiency (DRE) of 99.99% for each principal organic hazardous constituent (POHC) designated (under Section 724.442) in its permit for each waste feed.  DRE is determined for each POHC from the following equation: </w:t>
      </w:r>
    </w:p>
    <w:p w:rsidR="000A44FB" w:rsidRDefault="000A44FB" w:rsidP="00BF11CB">
      <w:pPr>
        <w:widowControl w:val="0"/>
        <w:autoSpaceDE w:val="0"/>
        <w:autoSpaceDN w:val="0"/>
        <w:adjustRightInd w:val="0"/>
      </w:pPr>
    </w:p>
    <w:p w:rsidR="00C6788D" w:rsidRDefault="00C6788D" w:rsidP="00BB78AB">
      <w:pPr>
        <w:widowControl w:val="0"/>
        <w:autoSpaceDE w:val="0"/>
        <w:autoSpaceDN w:val="0"/>
        <w:adjustRightInd w:val="0"/>
        <w:ind w:left="1440"/>
        <w:jc w:val="center"/>
      </w:pPr>
      <w:r w:rsidRPr="00C6788D">
        <w:rPr>
          <w:position w:val="-24"/>
        </w:rPr>
        <w:object w:dxaOrig="2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30.5pt" o:ole="">
            <v:imagedata r:id="rId4" o:title=""/>
          </v:shape>
          <o:OLEObject Type="Embed" ProgID="Equation.3" ShapeID="_x0000_i1025" DrawAspect="Content" ObjectID="_1606038450" r:id="rId5"/>
        </w:object>
      </w:r>
    </w:p>
    <w:p w:rsidR="00C6788D" w:rsidRDefault="00C6788D" w:rsidP="00BF11CB">
      <w:pPr>
        <w:widowControl w:val="0"/>
        <w:autoSpaceDE w:val="0"/>
        <w:autoSpaceDN w:val="0"/>
        <w:adjustRightInd w:val="0"/>
      </w:pPr>
    </w:p>
    <w:p w:rsidR="00FE41CB" w:rsidRDefault="00FE41CB" w:rsidP="00FE41CB">
      <w:pPr>
        <w:widowControl w:val="0"/>
        <w:autoSpaceDE w:val="0"/>
        <w:autoSpaceDN w:val="0"/>
        <w:adjustRightInd w:val="0"/>
        <w:ind w:left="2187"/>
      </w:pPr>
      <w:r>
        <w:t>Where:</w:t>
      </w:r>
    </w:p>
    <w:p w:rsidR="00FE41CB" w:rsidRDefault="00FE41CB" w:rsidP="00BF11CB">
      <w:pPr>
        <w:widowControl w:val="0"/>
        <w:autoSpaceDE w:val="0"/>
        <w:autoSpaceDN w:val="0"/>
        <w:adjustRightInd w:val="0"/>
      </w:pPr>
    </w:p>
    <w:tbl>
      <w:tblPr>
        <w:tblW w:w="6872" w:type="dxa"/>
        <w:tblInd w:w="2358" w:type="dxa"/>
        <w:tblLayout w:type="fixed"/>
        <w:tblLook w:val="0000" w:firstRow="0" w:lastRow="0" w:firstColumn="0" w:lastColumn="0" w:noHBand="0" w:noVBand="0"/>
      </w:tblPr>
      <w:tblGrid>
        <w:gridCol w:w="367"/>
        <w:gridCol w:w="236"/>
        <w:gridCol w:w="6269"/>
      </w:tblGrid>
      <w:tr w:rsidR="000A44FB" w:rsidTr="00BB78AB">
        <w:tc>
          <w:tcPr>
            <w:tcW w:w="367" w:type="dxa"/>
          </w:tcPr>
          <w:p w:rsidR="000A44FB" w:rsidRDefault="000A44FB" w:rsidP="00273A07">
            <w:pPr>
              <w:widowControl w:val="0"/>
              <w:autoSpaceDE w:val="0"/>
              <w:autoSpaceDN w:val="0"/>
              <w:adjustRightInd w:val="0"/>
            </w:pPr>
            <w:r>
              <w:t>N</w:t>
            </w:r>
          </w:p>
        </w:tc>
        <w:tc>
          <w:tcPr>
            <w:tcW w:w="236" w:type="dxa"/>
          </w:tcPr>
          <w:p w:rsidR="000A44FB" w:rsidRDefault="000A44FB" w:rsidP="00FE41CB">
            <w:pPr>
              <w:widowControl w:val="0"/>
              <w:autoSpaceDE w:val="0"/>
              <w:autoSpaceDN w:val="0"/>
              <w:adjustRightInd w:val="0"/>
              <w:ind w:left="-110" w:right="-99"/>
              <w:jc w:val="center"/>
            </w:pPr>
            <w:r>
              <w:t>=</w:t>
            </w:r>
          </w:p>
        </w:tc>
        <w:tc>
          <w:tcPr>
            <w:tcW w:w="6269" w:type="dxa"/>
          </w:tcPr>
          <w:p w:rsidR="000A44FB" w:rsidRDefault="000A44FB" w:rsidP="00FE41CB">
            <w:pPr>
              <w:widowControl w:val="0"/>
              <w:autoSpaceDE w:val="0"/>
              <w:autoSpaceDN w:val="0"/>
              <w:adjustRightInd w:val="0"/>
            </w:pPr>
            <w:r>
              <w:t xml:space="preserve">Mass feed rate of one principal organic hazardous constituent (POHC) in the waste stream feeding the incinerator </w:t>
            </w:r>
          </w:p>
        </w:tc>
      </w:tr>
      <w:tr w:rsidR="000A44FB" w:rsidTr="00BB78AB">
        <w:tc>
          <w:tcPr>
            <w:tcW w:w="367" w:type="dxa"/>
          </w:tcPr>
          <w:p w:rsidR="000A44FB" w:rsidRDefault="000A44FB" w:rsidP="00273A07">
            <w:pPr>
              <w:widowControl w:val="0"/>
              <w:autoSpaceDE w:val="0"/>
              <w:autoSpaceDN w:val="0"/>
              <w:adjustRightInd w:val="0"/>
            </w:pPr>
            <w:r>
              <w:t>O</w:t>
            </w:r>
          </w:p>
        </w:tc>
        <w:tc>
          <w:tcPr>
            <w:tcW w:w="236" w:type="dxa"/>
          </w:tcPr>
          <w:p w:rsidR="000A44FB" w:rsidRDefault="000A44FB" w:rsidP="00FE41CB">
            <w:pPr>
              <w:widowControl w:val="0"/>
              <w:autoSpaceDE w:val="0"/>
              <w:autoSpaceDN w:val="0"/>
              <w:adjustRightInd w:val="0"/>
              <w:ind w:left="-110" w:right="-99"/>
              <w:jc w:val="center"/>
            </w:pPr>
            <w:r>
              <w:t>=</w:t>
            </w:r>
          </w:p>
        </w:tc>
        <w:tc>
          <w:tcPr>
            <w:tcW w:w="6269" w:type="dxa"/>
          </w:tcPr>
          <w:p w:rsidR="000A44FB" w:rsidRDefault="000A44FB" w:rsidP="00FE41CB">
            <w:pPr>
              <w:widowControl w:val="0"/>
              <w:autoSpaceDE w:val="0"/>
              <w:autoSpaceDN w:val="0"/>
              <w:adjustRightInd w:val="0"/>
            </w:pPr>
            <w:r>
              <w:t xml:space="preserve">Mass emission rate of the same POHC present in exhaust emissions prior to release to the atmosphere </w:t>
            </w:r>
          </w:p>
        </w:tc>
      </w:tr>
    </w:tbl>
    <w:p w:rsidR="000A44FB" w:rsidRDefault="000A44FB" w:rsidP="00BF11CB">
      <w:pPr>
        <w:widowControl w:val="0"/>
        <w:autoSpaceDE w:val="0"/>
        <w:autoSpaceDN w:val="0"/>
        <w:adjustRightInd w:val="0"/>
      </w:pPr>
    </w:p>
    <w:p w:rsidR="003D1983" w:rsidRDefault="003D1983" w:rsidP="00273A07">
      <w:pPr>
        <w:widowControl w:val="0"/>
        <w:autoSpaceDE w:val="0"/>
        <w:autoSpaceDN w:val="0"/>
        <w:adjustRightInd w:val="0"/>
        <w:ind w:left="2160" w:hanging="720"/>
      </w:pPr>
      <w:r>
        <w:t>2)</w:t>
      </w:r>
      <w:r>
        <w:tab/>
        <w:t>An incinerator burning hazardous wastes F020, F021, F022, F023, F026</w:t>
      </w:r>
      <w:r w:rsidR="00865724">
        <w:t>,</w:t>
      </w:r>
      <w:r>
        <w:t xml:space="preserve"> or F027 must achieve a destruction and removal efficiency (DRE) of 99.9999% for each principal organic hazardous constituent (POHC) designated (under Section 724.442) in its permit.  This performance must be demonstrated on POHCs that are more difficult to incinerate than tetra-</w:t>
      </w:r>
      <w:r w:rsidR="00F52DE2">
        <w:t>,</w:t>
      </w:r>
      <w:r w:rsidR="00865724">
        <w:t xml:space="preserve"> </w:t>
      </w:r>
      <w:r>
        <w:t>penta-</w:t>
      </w:r>
      <w:r w:rsidR="00865724">
        <w:t>,</w:t>
      </w:r>
      <w:r>
        <w:t xml:space="preserve"> and hexachlorodibenzo-p-dioxins and dibenzofurans.  DRE is determined for each POHC from the equation in </w:t>
      </w:r>
      <w:r w:rsidR="000A44FB">
        <w:t xml:space="preserve">subsection </w:t>
      </w:r>
      <w:r>
        <w:t xml:space="preserve">(a)(1). </w:t>
      </w:r>
    </w:p>
    <w:p w:rsidR="0071763F" w:rsidRDefault="0071763F" w:rsidP="00BF11CB">
      <w:pPr>
        <w:widowControl w:val="0"/>
        <w:autoSpaceDE w:val="0"/>
        <w:autoSpaceDN w:val="0"/>
        <w:adjustRightInd w:val="0"/>
      </w:pPr>
    </w:p>
    <w:p w:rsidR="003D1983" w:rsidRDefault="003D1983" w:rsidP="00273A07">
      <w:pPr>
        <w:widowControl w:val="0"/>
        <w:autoSpaceDE w:val="0"/>
        <w:autoSpaceDN w:val="0"/>
        <w:adjustRightInd w:val="0"/>
        <w:ind w:left="1440" w:hanging="720"/>
      </w:pPr>
      <w:r>
        <w:t>b)</w:t>
      </w:r>
      <w:r>
        <w:tab/>
        <w:t xml:space="preserve">An incinerator burning hazardous waste and producing stack emissions of more than 1.8 </w:t>
      </w:r>
      <w:r w:rsidR="00FE7ED5">
        <w:t>kg (4 lbs)</w:t>
      </w:r>
      <w:r>
        <w:t xml:space="preserve"> per hour  of hydrogen chloride (HCl) must control HCl emissions such that the rate of emission is no greater than the larger of either 1.8 </w:t>
      </w:r>
      <w:r w:rsidR="00FE7ED5">
        <w:t>kg (4 lbs)</w:t>
      </w:r>
      <w:r>
        <w:t xml:space="preserve"> per hour or </w:t>
      </w:r>
      <w:r w:rsidR="000A44FB">
        <w:t xml:space="preserve">one percent </w:t>
      </w:r>
      <w:r>
        <w:t xml:space="preserve">of the HCl in the stack gas prior to entering any pollution control equipment. </w:t>
      </w:r>
    </w:p>
    <w:p w:rsidR="0071763F" w:rsidRDefault="0071763F" w:rsidP="00BF11CB">
      <w:pPr>
        <w:widowControl w:val="0"/>
        <w:autoSpaceDE w:val="0"/>
        <w:autoSpaceDN w:val="0"/>
        <w:adjustRightInd w:val="0"/>
      </w:pPr>
    </w:p>
    <w:p w:rsidR="003D1983" w:rsidRDefault="003D1983" w:rsidP="00273A07">
      <w:pPr>
        <w:widowControl w:val="0"/>
        <w:autoSpaceDE w:val="0"/>
        <w:autoSpaceDN w:val="0"/>
        <w:adjustRightInd w:val="0"/>
        <w:ind w:left="1440" w:hanging="720"/>
      </w:pPr>
      <w:r>
        <w:t>c)</w:t>
      </w:r>
      <w:r>
        <w:tab/>
        <w:t xml:space="preserve">An incinerator burning hazardous waste must not emit particulate matter in excess of 180 milligrams per dry standard cubic meter (0.08 grains per dry standard cubic foot) when corrected for the amount of oxygen in the stack gas according to the </w:t>
      </w:r>
      <w:r w:rsidR="000A44FB">
        <w:t xml:space="preserve">following </w:t>
      </w:r>
      <w:r>
        <w:t xml:space="preserve">formula: </w:t>
      </w:r>
    </w:p>
    <w:p w:rsidR="000A44FB" w:rsidRDefault="000A44FB" w:rsidP="00BF11CB">
      <w:pPr>
        <w:widowControl w:val="0"/>
        <w:autoSpaceDE w:val="0"/>
        <w:autoSpaceDN w:val="0"/>
        <w:adjustRightInd w:val="0"/>
        <w:ind w:right="411"/>
      </w:pPr>
    </w:p>
    <w:p w:rsidR="00C6788D" w:rsidRDefault="00C6788D" w:rsidP="00F32799">
      <w:pPr>
        <w:widowControl w:val="0"/>
        <w:autoSpaceDE w:val="0"/>
        <w:autoSpaceDN w:val="0"/>
        <w:adjustRightInd w:val="0"/>
        <w:ind w:left="1440" w:right="411"/>
        <w:jc w:val="center"/>
      </w:pPr>
      <w:r w:rsidRPr="00C6788D">
        <w:rPr>
          <w:position w:val="-24"/>
        </w:rPr>
        <w:object w:dxaOrig="1200" w:dyaOrig="620">
          <v:shape id="_x0000_i1026" type="#_x0000_t75" style="width:60pt;height:30.5pt" o:ole="">
            <v:imagedata r:id="rId6" o:title=""/>
          </v:shape>
          <o:OLEObject Type="Embed" ProgID="Equation.3" ShapeID="_x0000_i1026" DrawAspect="Content" ObjectID="_1606038451" r:id="rId7"/>
        </w:object>
      </w:r>
    </w:p>
    <w:p w:rsidR="00C6788D" w:rsidRDefault="00C6788D" w:rsidP="00BF11CB">
      <w:pPr>
        <w:widowControl w:val="0"/>
        <w:autoSpaceDE w:val="0"/>
        <w:autoSpaceDN w:val="0"/>
        <w:adjustRightInd w:val="0"/>
        <w:ind w:right="411"/>
      </w:pPr>
    </w:p>
    <w:p w:rsidR="003D1983" w:rsidRDefault="003D1983" w:rsidP="00273A07">
      <w:pPr>
        <w:widowControl w:val="0"/>
        <w:autoSpaceDE w:val="0"/>
        <w:autoSpaceDN w:val="0"/>
        <w:adjustRightInd w:val="0"/>
        <w:ind w:left="2160" w:hanging="720"/>
      </w:pPr>
      <w:r>
        <w:t>1)</w:t>
      </w:r>
      <w:r>
        <w:tab/>
        <w:t xml:space="preserve">Where: </w:t>
      </w:r>
    </w:p>
    <w:p w:rsidR="000641CB" w:rsidRDefault="000641CB" w:rsidP="00BF11CB">
      <w:pPr>
        <w:widowControl w:val="0"/>
        <w:autoSpaceDE w:val="0"/>
        <w:autoSpaceDN w:val="0"/>
        <w:adjustRightInd w:val="0"/>
      </w:pPr>
    </w:p>
    <w:tbl>
      <w:tblPr>
        <w:tblW w:w="7122" w:type="dxa"/>
        <w:tblInd w:w="2448" w:type="dxa"/>
        <w:tblLook w:val="0000" w:firstRow="0" w:lastRow="0" w:firstColumn="0" w:lastColumn="0" w:noHBand="0" w:noVBand="0"/>
      </w:tblPr>
      <w:tblGrid>
        <w:gridCol w:w="450"/>
        <w:gridCol w:w="243"/>
        <w:gridCol w:w="6429"/>
      </w:tblGrid>
      <w:tr w:rsidR="000641CB" w:rsidTr="00F32799">
        <w:tc>
          <w:tcPr>
            <w:tcW w:w="450" w:type="dxa"/>
          </w:tcPr>
          <w:p w:rsidR="000641CB" w:rsidRDefault="000641CB" w:rsidP="00F32799">
            <w:pPr>
              <w:widowControl w:val="0"/>
              <w:autoSpaceDE w:val="0"/>
              <w:autoSpaceDN w:val="0"/>
              <w:adjustRightInd w:val="0"/>
              <w:ind w:right="-267"/>
            </w:pPr>
            <w:r>
              <w:t>C</w:t>
            </w:r>
          </w:p>
        </w:tc>
        <w:tc>
          <w:tcPr>
            <w:tcW w:w="243" w:type="dxa"/>
          </w:tcPr>
          <w:p w:rsidR="000641CB" w:rsidRDefault="000641CB" w:rsidP="00F32799">
            <w:pPr>
              <w:widowControl w:val="0"/>
              <w:autoSpaceDE w:val="0"/>
              <w:autoSpaceDN w:val="0"/>
              <w:adjustRightInd w:val="0"/>
              <w:ind w:left="-108" w:right="-267"/>
            </w:pPr>
            <w:r>
              <w:t>=</w:t>
            </w:r>
          </w:p>
        </w:tc>
        <w:tc>
          <w:tcPr>
            <w:tcW w:w="6429" w:type="dxa"/>
          </w:tcPr>
          <w:p w:rsidR="000641CB" w:rsidRDefault="000641CB" w:rsidP="00F52DE2">
            <w:pPr>
              <w:widowControl w:val="0"/>
              <w:autoSpaceDE w:val="0"/>
              <w:autoSpaceDN w:val="0"/>
              <w:adjustRightInd w:val="0"/>
              <w:ind w:right="-267"/>
            </w:pPr>
            <w:r>
              <w:t>the corrected concentration of particulate matter</w:t>
            </w:r>
          </w:p>
        </w:tc>
      </w:tr>
      <w:tr w:rsidR="000641CB" w:rsidTr="00F32799">
        <w:tc>
          <w:tcPr>
            <w:tcW w:w="450" w:type="dxa"/>
          </w:tcPr>
          <w:p w:rsidR="000641CB" w:rsidRDefault="000641CB" w:rsidP="00F32799">
            <w:pPr>
              <w:widowControl w:val="0"/>
              <w:autoSpaceDE w:val="0"/>
              <w:autoSpaceDN w:val="0"/>
              <w:adjustRightInd w:val="0"/>
              <w:ind w:right="-267"/>
            </w:pPr>
            <w:r>
              <w:t>M</w:t>
            </w:r>
          </w:p>
        </w:tc>
        <w:tc>
          <w:tcPr>
            <w:tcW w:w="243" w:type="dxa"/>
          </w:tcPr>
          <w:p w:rsidR="000641CB" w:rsidRDefault="000641CB" w:rsidP="00F32799">
            <w:pPr>
              <w:widowControl w:val="0"/>
              <w:autoSpaceDE w:val="0"/>
              <w:autoSpaceDN w:val="0"/>
              <w:adjustRightInd w:val="0"/>
              <w:ind w:left="-108" w:right="-267"/>
            </w:pPr>
            <w:r>
              <w:t>=</w:t>
            </w:r>
          </w:p>
        </w:tc>
        <w:tc>
          <w:tcPr>
            <w:tcW w:w="6429" w:type="dxa"/>
          </w:tcPr>
          <w:p w:rsidR="000641CB" w:rsidRDefault="000641CB" w:rsidP="00F52DE2">
            <w:pPr>
              <w:widowControl w:val="0"/>
              <w:autoSpaceDE w:val="0"/>
              <w:autoSpaceDN w:val="0"/>
              <w:adjustRightInd w:val="0"/>
              <w:ind w:right="-267"/>
            </w:pPr>
            <w:r>
              <w:t>the measured concentration of particulate matter</w:t>
            </w:r>
          </w:p>
        </w:tc>
      </w:tr>
      <w:tr w:rsidR="000641CB" w:rsidTr="00F32799">
        <w:tc>
          <w:tcPr>
            <w:tcW w:w="450" w:type="dxa"/>
          </w:tcPr>
          <w:p w:rsidR="000641CB" w:rsidRDefault="00347898" w:rsidP="00F32799">
            <w:pPr>
              <w:widowControl w:val="0"/>
              <w:autoSpaceDE w:val="0"/>
              <w:autoSpaceDN w:val="0"/>
              <w:adjustRightInd w:val="0"/>
              <w:ind w:right="-267"/>
            </w:pPr>
            <w:r>
              <w:t>Y</w:t>
            </w:r>
          </w:p>
        </w:tc>
        <w:tc>
          <w:tcPr>
            <w:tcW w:w="243" w:type="dxa"/>
          </w:tcPr>
          <w:p w:rsidR="000641CB" w:rsidRDefault="00347898" w:rsidP="00F32799">
            <w:pPr>
              <w:widowControl w:val="0"/>
              <w:autoSpaceDE w:val="0"/>
              <w:autoSpaceDN w:val="0"/>
              <w:adjustRightInd w:val="0"/>
              <w:ind w:left="-108" w:right="-267"/>
            </w:pPr>
            <w:r>
              <w:t>=</w:t>
            </w:r>
          </w:p>
        </w:tc>
        <w:tc>
          <w:tcPr>
            <w:tcW w:w="6429" w:type="dxa"/>
          </w:tcPr>
          <w:p w:rsidR="000641CB" w:rsidRDefault="000641CB" w:rsidP="00F52DE2">
            <w:pPr>
              <w:widowControl w:val="0"/>
              <w:autoSpaceDE w:val="0"/>
              <w:autoSpaceDN w:val="0"/>
              <w:adjustRightInd w:val="0"/>
              <w:ind w:right="-267"/>
            </w:pPr>
            <w:r>
              <w:t xml:space="preserve">the measured concentration of oxygen in the stack gas, using the Orsat method for oxygen analysis of dry flue gas, presented in </w:t>
            </w:r>
            <w:r w:rsidR="00FE7ED5">
              <w:t xml:space="preserve">Reference </w:t>
            </w:r>
            <w:r w:rsidR="00AD5CC5" w:rsidRPr="00F024F9">
              <w:t xml:space="preserve">Method 3 in appendix A to </w:t>
            </w:r>
            <w:r>
              <w:t>40 CFR 60</w:t>
            </w:r>
            <w:r w:rsidR="00AD5CC5">
              <w:t xml:space="preserve"> </w:t>
            </w:r>
            <w:r w:rsidR="00AD5CC5" w:rsidRPr="00AD5CC5">
              <w:t>(Gas Analysis for the Determination of Dry Molecular Weight), incorporated by reference in 35 Ill. Adm. Code 720.111(b)</w:t>
            </w:r>
            <w:r>
              <w:t xml:space="preserve"> </w:t>
            </w:r>
          </w:p>
        </w:tc>
      </w:tr>
    </w:tbl>
    <w:p w:rsidR="000641CB" w:rsidRDefault="000641CB" w:rsidP="00BF11CB">
      <w:pPr>
        <w:widowControl w:val="0"/>
        <w:autoSpaceDE w:val="0"/>
        <w:autoSpaceDN w:val="0"/>
        <w:adjustRightInd w:val="0"/>
      </w:pPr>
    </w:p>
    <w:p w:rsidR="003D1983" w:rsidRDefault="003D1983" w:rsidP="00273A07">
      <w:pPr>
        <w:widowControl w:val="0"/>
        <w:autoSpaceDE w:val="0"/>
        <w:autoSpaceDN w:val="0"/>
        <w:adjustRightInd w:val="0"/>
        <w:ind w:left="2160" w:hanging="720"/>
      </w:pPr>
      <w:r>
        <w:t>2)</w:t>
      </w:r>
      <w:r>
        <w:tab/>
        <w:t xml:space="preserve">This correction procedure is to be used by all hazardous waste incinerators except those operating under conditions of oxygen enrichment.  For these facilities, </w:t>
      </w:r>
      <w:r w:rsidR="00F04B12">
        <w:t xml:space="preserve">the </w:t>
      </w:r>
      <w:r>
        <w:t xml:space="preserve">Agency </w:t>
      </w:r>
      <w:r w:rsidR="000641CB">
        <w:t xml:space="preserve">must </w:t>
      </w:r>
      <w:r>
        <w:t xml:space="preserve">select an appropriate correction procedure, to be specified in the facility permit. </w:t>
      </w:r>
    </w:p>
    <w:p w:rsidR="0071763F" w:rsidRDefault="0071763F" w:rsidP="00BF11CB">
      <w:pPr>
        <w:widowControl w:val="0"/>
        <w:autoSpaceDE w:val="0"/>
        <w:autoSpaceDN w:val="0"/>
        <w:adjustRightInd w:val="0"/>
      </w:pPr>
    </w:p>
    <w:p w:rsidR="003D1983" w:rsidRDefault="003D1983" w:rsidP="00273A07">
      <w:pPr>
        <w:widowControl w:val="0"/>
        <w:autoSpaceDE w:val="0"/>
        <w:autoSpaceDN w:val="0"/>
        <w:adjustRightInd w:val="0"/>
        <w:ind w:left="1440" w:hanging="720"/>
      </w:pPr>
      <w:r>
        <w:t>d)</w:t>
      </w:r>
      <w:r>
        <w:tab/>
        <w:t xml:space="preserve">For the purposes of permit enforcement, compliance with the operating requirements specified in the permit (under Section 724.445) will be regarded as compliance with this Section.  However, evidence that compliance with those permit conditions is insufficient to ensure compliance with the performance requirements of this Section may be "information" justifying modification, revocation or reissuance of a permit under 35 Ill. Adm. Code 702.184. </w:t>
      </w:r>
    </w:p>
    <w:p w:rsidR="003D1983" w:rsidRDefault="003D1983" w:rsidP="00BF11CB">
      <w:pPr>
        <w:widowControl w:val="0"/>
        <w:autoSpaceDE w:val="0"/>
        <w:autoSpaceDN w:val="0"/>
        <w:adjustRightInd w:val="0"/>
      </w:pPr>
    </w:p>
    <w:p w:rsidR="00A44A15" w:rsidRPr="00D55B37" w:rsidRDefault="00FE7ED5">
      <w:pPr>
        <w:pStyle w:val="JCARSourceNote"/>
        <w:ind w:left="720"/>
      </w:pPr>
      <w:r>
        <w:t xml:space="preserve">(Source:  Amended at 42 Ill. Reg. </w:t>
      </w:r>
      <w:r w:rsidR="00585AD2">
        <w:t>22614</w:t>
      </w:r>
      <w:r>
        <w:t xml:space="preserve">, effective </w:t>
      </w:r>
      <w:bookmarkStart w:id="0" w:name="_GoBack"/>
      <w:r w:rsidR="00585AD2">
        <w:t>November 19, 2018</w:t>
      </w:r>
      <w:bookmarkEnd w:id="0"/>
      <w:r>
        <w:t>)</w:t>
      </w:r>
    </w:p>
    <w:sectPr w:rsidR="00A44A15" w:rsidRPr="00D55B37" w:rsidSect="00273A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1983"/>
    <w:rsid w:val="000641CB"/>
    <w:rsid w:val="000A44FB"/>
    <w:rsid w:val="000E2F95"/>
    <w:rsid w:val="001109E6"/>
    <w:rsid w:val="00273A07"/>
    <w:rsid w:val="002E2B1B"/>
    <w:rsid w:val="00347898"/>
    <w:rsid w:val="003D1983"/>
    <w:rsid w:val="004B62B5"/>
    <w:rsid w:val="004E4295"/>
    <w:rsid w:val="0051316B"/>
    <w:rsid w:val="00585AD2"/>
    <w:rsid w:val="0071763F"/>
    <w:rsid w:val="00772C34"/>
    <w:rsid w:val="007A5087"/>
    <w:rsid w:val="00865724"/>
    <w:rsid w:val="009303FE"/>
    <w:rsid w:val="00A44A15"/>
    <w:rsid w:val="00AD5CC5"/>
    <w:rsid w:val="00B4002B"/>
    <w:rsid w:val="00B54D80"/>
    <w:rsid w:val="00BB78AB"/>
    <w:rsid w:val="00BF11CB"/>
    <w:rsid w:val="00BF13BC"/>
    <w:rsid w:val="00BF7AA3"/>
    <w:rsid w:val="00C1285A"/>
    <w:rsid w:val="00C20BD8"/>
    <w:rsid w:val="00C6788D"/>
    <w:rsid w:val="00CD2E9E"/>
    <w:rsid w:val="00D74F11"/>
    <w:rsid w:val="00DD3705"/>
    <w:rsid w:val="00EE5D46"/>
    <w:rsid w:val="00F024F9"/>
    <w:rsid w:val="00F04B12"/>
    <w:rsid w:val="00F32799"/>
    <w:rsid w:val="00F52DE2"/>
    <w:rsid w:val="00FE41CB"/>
    <w:rsid w:val="00FE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docId w15:val="{B25D5624-0BC3-4EB3-8D4C-B972FD27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4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2018-12-11T19:00:00Z</dcterms:modified>
</cp:coreProperties>
</file>