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396" w:rsidRPr="00D22396" w:rsidRDefault="00D22396" w:rsidP="00D22396"/>
    <w:p w:rsidR="00D22396" w:rsidRPr="00D22396" w:rsidRDefault="00D22396" w:rsidP="00D22396">
      <w:pPr>
        <w:rPr>
          <w:b/>
        </w:rPr>
      </w:pPr>
      <w:r w:rsidRPr="00D22396">
        <w:rPr>
          <w:b/>
        </w:rPr>
        <w:t>Section 722.314  Laboratory Management Plan</w:t>
      </w:r>
    </w:p>
    <w:p w:rsidR="00D22396" w:rsidRPr="00D22396" w:rsidRDefault="00D22396" w:rsidP="00D22396"/>
    <w:p w:rsidR="00D22396" w:rsidRPr="00D22396" w:rsidRDefault="00D22396" w:rsidP="00D22396">
      <w:r w:rsidRPr="00D22396">
        <w:t xml:space="preserve">An eligible academic entity must develop and retain a written Laboratory Management Plan, or revise an existing written plan.  The Laboratory Management Plan is a site-specific document that describes how the eligible academic entity will manage unwanted materials in compliance with this Subpart K.  An eligible academic entity may write one Laboratory Management Plan for all of the laboratories that it owns </w:t>
      </w:r>
      <w:r w:rsidR="00BD574F">
        <w:t xml:space="preserve">which </w:t>
      </w:r>
      <w:r w:rsidRPr="00D22396">
        <w:t>have opted into this Subpart K, even if the laboratories are located at sites with different USEPA identification numbers.  The Laboratory Management Plan must contain two parts, with a total of the nine elements identified in subsections (a) and (b).  In Part I of its Laboratory Management Plan, an eligible academic entity must describe its procedures for each of the elements listed in subsection (a).  An eligible academic entity must implement and comply with the specific provisions that it develops to address the elements in Part I of its Laboratory Management Plan.  In Part II of its Laboratory Management Plan, an eligible academic entity must describe its best management practices for each of the elements listed in subsection (b).  The specific actions taken by an eligible academic entity to implement each element in Part II of its Laboratory Management Plan may vary from the procedures described in the eligible academic entity</w:t>
      </w:r>
      <w:r>
        <w:t>'</w:t>
      </w:r>
      <w:r w:rsidRPr="00D22396">
        <w:t>s Laboratory Management Plan, without constituting a violation of this Subpart K.  An eligible academic entity may include additional elements and best management practices in Part II of its Laboratory Management Plan if it so chooses.</w:t>
      </w:r>
    </w:p>
    <w:p w:rsidR="00D22396" w:rsidRPr="00D22396" w:rsidRDefault="00D22396" w:rsidP="00D22396"/>
    <w:p w:rsidR="00D22396" w:rsidRPr="00D22396" w:rsidRDefault="00D22396" w:rsidP="00D22396">
      <w:pPr>
        <w:ind w:left="1440" w:hanging="720"/>
      </w:pPr>
      <w:r w:rsidRPr="00D22396">
        <w:t>a)</w:t>
      </w:r>
      <w:r>
        <w:tab/>
      </w:r>
      <w:r w:rsidRPr="00D22396">
        <w:t>The eligible academic entity must implement and comply with the specific provisions of Part I of its Laboratory Management Plan.  In Part I of its Laboratory Management Plan, an eligible academic entity must include the following information:</w:t>
      </w:r>
    </w:p>
    <w:p w:rsidR="00D22396" w:rsidRPr="00D22396" w:rsidRDefault="00D22396" w:rsidP="00D22396"/>
    <w:p w:rsidR="00D22396" w:rsidRPr="00D22396" w:rsidRDefault="00D22396" w:rsidP="00D22396">
      <w:pPr>
        <w:ind w:left="2160" w:hanging="720"/>
      </w:pPr>
      <w:r w:rsidRPr="00D22396">
        <w:t>1)</w:t>
      </w:r>
      <w:r>
        <w:tab/>
      </w:r>
      <w:r w:rsidRPr="00D22396">
        <w:t>Part I must describe procedures for container labeling in accordance with Section 722.306(a)</w:t>
      </w:r>
      <w:r w:rsidR="002C30F0">
        <w:t>, as follows</w:t>
      </w:r>
      <w:r w:rsidRPr="00D22396">
        <w:t>:</w:t>
      </w:r>
    </w:p>
    <w:p w:rsidR="00D22396" w:rsidRPr="00D22396" w:rsidRDefault="00D22396" w:rsidP="00D22396"/>
    <w:p w:rsidR="00D22396" w:rsidRPr="00D22396" w:rsidRDefault="00D22396" w:rsidP="00D22396">
      <w:pPr>
        <w:ind w:left="2880" w:hanging="720"/>
      </w:pPr>
      <w:r w:rsidRPr="00D22396">
        <w:t>A)</w:t>
      </w:r>
      <w:r>
        <w:tab/>
      </w:r>
      <w:r w:rsidRPr="00D22396">
        <w:t xml:space="preserve">Identification whether the eligible academic entity will use the term </w:t>
      </w:r>
      <w:r>
        <w:t>"</w:t>
      </w:r>
      <w:r w:rsidRPr="00D22396">
        <w:t>unwanted material</w:t>
      </w:r>
      <w:r>
        <w:t>"</w:t>
      </w:r>
      <w:r w:rsidRPr="00D22396">
        <w:t xml:space="preserve"> on the containers in the laboratory.  If not, identification of an equally effective term that the eligible academic entity will consistently use in lieu of </w:t>
      </w:r>
      <w:r>
        <w:t>"</w:t>
      </w:r>
      <w:r w:rsidRPr="00D22396">
        <w:t>unwanted material</w:t>
      </w:r>
      <w:r>
        <w:t>"</w:t>
      </w:r>
      <w:r w:rsidR="001A4430">
        <w:t>.</w:t>
      </w:r>
      <w:r w:rsidRPr="00D22396">
        <w:t xml:space="preserve">  The equally effective term, if used, has the same meaning as the term </w:t>
      </w:r>
      <w:r>
        <w:t>"</w:t>
      </w:r>
      <w:r w:rsidRPr="00D22396">
        <w:t>unwanted material</w:t>
      </w:r>
      <w:r>
        <w:t>"</w:t>
      </w:r>
      <w:r w:rsidR="001A4430">
        <w:t>,</w:t>
      </w:r>
      <w:r w:rsidRPr="00D22396">
        <w:t xml:space="preserve"> and the material is subject to the same requirements as if </w:t>
      </w:r>
      <w:r w:rsidR="00ED2D97">
        <w:t xml:space="preserve">it were </w:t>
      </w:r>
      <w:r w:rsidRPr="00D22396">
        <w:t xml:space="preserve">called </w:t>
      </w:r>
      <w:r>
        <w:t>"</w:t>
      </w:r>
      <w:r w:rsidRPr="00D22396">
        <w:t>unwanted material</w:t>
      </w:r>
      <w:r>
        <w:t>"</w:t>
      </w:r>
      <w:r w:rsidRPr="00D22396">
        <w:t>; and</w:t>
      </w:r>
    </w:p>
    <w:p w:rsidR="00D22396" w:rsidRPr="00D22396" w:rsidRDefault="00D22396" w:rsidP="00D22396"/>
    <w:p w:rsidR="00D22396" w:rsidRPr="00D22396" w:rsidRDefault="00D22396" w:rsidP="00D22396">
      <w:pPr>
        <w:ind w:left="2880" w:hanging="720"/>
      </w:pPr>
      <w:r w:rsidRPr="00D22396">
        <w:t>B)</w:t>
      </w:r>
      <w:r>
        <w:tab/>
      </w:r>
      <w:r w:rsidRPr="00D22396">
        <w:t xml:space="preserve">Identification of the manner in which information that is </w:t>
      </w:r>
      <w:r>
        <w:t>"</w:t>
      </w:r>
      <w:r w:rsidRPr="00D22396">
        <w:t>associated with the container</w:t>
      </w:r>
      <w:r>
        <w:t>"</w:t>
      </w:r>
      <w:r w:rsidRPr="00D22396">
        <w:t xml:space="preserve"> will be imparted.</w:t>
      </w:r>
    </w:p>
    <w:p w:rsidR="00D22396" w:rsidRPr="00D22396" w:rsidRDefault="00D22396" w:rsidP="00D22396"/>
    <w:p w:rsidR="00D22396" w:rsidRPr="00D22396" w:rsidRDefault="00D22396" w:rsidP="00D22396">
      <w:pPr>
        <w:ind w:left="2160" w:hanging="720"/>
      </w:pPr>
      <w:r w:rsidRPr="00D22396">
        <w:t>2)</w:t>
      </w:r>
      <w:r>
        <w:tab/>
      </w:r>
      <w:r w:rsidRPr="00D22396">
        <w:t>Identification whether the eligible academic entity will comply with Section 722.308(a)(1) or (a)(2) for regularly scheduled removals of unwanted material from the laboratory.</w:t>
      </w:r>
    </w:p>
    <w:p w:rsidR="00D22396" w:rsidRPr="00D22396" w:rsidRDefault="00D22396" w:rsidP="00D22396"/>
    <w:p w:rsidR="00D22396" w:rsidRPr="00D22396" w:rsidRDefault="00D22396" w:rsidP="00D22396">
      <w:pPr>
        <w:ind w:left="1440" w:hanging="720"/>
      </w:pPr>
      <w:r w:rsidRPr="00D22396">
        <w:lastRenderedPageBreak/>
        <w:t>b)</w:t>
      </w:r>
      <w:r>
        <w:tab/>
      </w:r>
      <w:r w:rsidRPr="00D22396">
        <w:t>In Part II of its Laboratory Management Plan, an eligible academic entity must include the following information:</w:t>
      </w:r>
    </w:p>
    <w:p w:rsidR="00D22396" w:rsidRPr="00D22396" w:rsidRDefault="00D22396" w:rsidP="00D22396"/>
    <w:p w:rsidR="00D22396" w:rsidRPr="00D22396" w:rsidRDefault="00D22396" w:rsidP="00D22396">
      <w:pPr>
        <w:ind w:left="2160" w:hanging="720"/>
      </w:pPr>
      <w:r w:rsidRPr="00D22396">
        <w:t>1)</w:t>
      </w:r>
      <w:r>
        <w:tab/>
      </w:r>
      <w:r w:rsidRPr="00D22396">
        <w:t>Description of its intended best practices for container labeling and management (see the required standards at Section 722.306);</w:t>
      </w:r>
    </w:p>
    <w:p w:rsidR="00D22396" w:rsidRPr="00D22396" w:rsidRDefault="00D22396" w:rsidP="00D22396"/>
    <w:p w:rsidR="00D22396" w:rsidRPr="00D22396" w:rsidRDefault="00D22396" w:rsidP="00D22396">
      <w:pPr>
        <w:ind w:left="2160" w:hanging="720"/>
      </w:pPr>
      <w:r w:rsidRPr="00D22396">
        <w:t>2)</w:t>
      </w:r>
      <w:r>
        <w:tab/>
      </w:r>
      <w:r w:rsidRPr="00D22396">
        <w:t>Description of its intended best practices for providing training for laboratory workers and students commensurate with their duties (see the required standards at Section 722.307(a));</w:t>
      </w:r>
    </w:p>
    <w:p w:rsidR="00D22396" w:rsidRPr="00D22396" w:rsidRDefault="00D22396" w:rsidP="00D22396"/>
    <w:p w:rsidR="00D22396" w:rsidRPr="00D22396" w:rsidRDefault="00D22396" w:rsidP="00D22396">
      <w:pPr>
        <w:ind w:left="2160" w:hanging="720"/>
      </w:pPr>
      <w:r w:rsidRPr="00D22396">
        <w:t>3)</w:t>
      </w:r>
      <w:r>
        <w:tab/>
      </w:r>
      <w:r w:rsidRPr="00D22396">
        <w:t>Description of its intended best practices for providing training to ensure safe on-site transfers of unwanted material and hazardous waste by trained professionals (see the required standards at Section 722.307(d)(1));</w:t>
      </w:r>
    </w:p>
    <w:p w:rsidR="00D22396" w:rsidRPr="00D22396" w:rsidRDefault="00D22396" w:rsidP="00D22396"/>
    <w:p w:rsidR="00D22396" w:rsidRPr="00D22396" w:rsidRDefault="00D22396" w:rsidP="00D22396">
      <w:pPr>
        <w:ind w:left="2160" w:hanging="720"/>
      </w:pPr>
      <w:r w:rsidRPr="00D22396">
        <w:t>4)</w:t>
      </w:r>
      <w:r>
        <w:tab/>
      </w:r>
      <w:r w:rsidRPr="00D22396">
        <w:t>Description of its intended best practices for removing unwanted material from the laboratory, including the following:</w:t>
      </w:r>
    </w:p>
    <w:p w:rsidR="00D22396" w:rsidRPr="00D22396" w:rsidRDefault="00D22396" w:rsidP="00D22396"/>
    <w:p w:rsidR="00D22396" w:rsidRPr="00D22396" w:rsidRDefault="00D22396" w:rsidP="00D22396">
      <w:pPr>
        <w:ind w:left="2880" w:hanging="720"/>
      </w:pPr>
      <w:r w:rsidRPr="00D22396">
        <w:t>A)</w:t>
      </w:r>
      <w:r>
        <w:tab/>
      </w:r>
      <w:r w:rsidRPr="00D22396">
        <w:t>For regularly scheduled removals, a regular schedule for identifying and removing unwanted materials from its laboratories (see the required standards at Section 722.308(a)(1) and (a)(2))</w:t>
      </w:r>
      <w:r w:rsidR="00ED2D97">
        <w:t>;</w:t>
      </w:r>
    </w:p>
    <w:p w:rsidR="00D22396" w:rsidRPr="00D22396" w:rsidRDefault="00D22396" w:rsidP="00D22396"/>
    <w:p w:rsidR="00D22396" w:rsidRPr="00D22396" w:rsidRDefault="00D22396" w:rsidP="00D22396">
      <w:pPr>
        <w:ind w:left="2880" w:hanging="720"/>
      </w:pPr>
      <w:r w:rsidRPr="00D22396">
        <w:t>B)</w:t>
      </w:r>
      <w:r>
        <w:tab/>
      </w:r>
      <w:r w:rsidRPr="00D22396">
        <w:t>For removals when maximum volumes are exceeded, the following:</w:t>
      </w:r>
    </w:p>
    <w:p w:rsidR="00D22396" w:rsidRPr="00D22396" w:rsidRDefault="00D22396" w:rsidP="00D22396"/>
    <w:p w:rsidR="00D22396" w:rsidRPr="00D22396" w:rsidRDefault="00D22396" w:rsidP="00D22396">
      <w:pPr>
        <w:ind w:left="3600" w:hanging="720"/>
      </w:pPr>
      <w:r w:rsidRPr="00D22396">
        <w:t>i)</w:t>
      </w:r>
      <w:r>
        <w:tab/>
      </w:r>
      <w:r w:rsidRPr="00D22396">
        <w:t>Description of the eligible academic entity</w:t>
      </w:r>
      <w:r>
        <w:t>'</w:t>
      </w:r>
      <w:r w:rsidRPr="00D22396">
        <w:t xml:space="preserve">s intended best practices for removing unwanted materials from the laboratory within 10 calendar days </w:t>
      </w:r>
      <w:r w:rsidR="00ED2D97">
        <w:t xml:space="preserve">after </w:t>
      </w:r>
      <w:r w:rsidRPr="00D22396">
        <w:t>the date on which unwanted materials have exceeded their maximum volumes (see the required standards at Section 722.308(d)); and</w:t>
      </w:r>
    </w:p>
    <w:p w:rsidR="00D22396" w:rsidRPr="00D22396" w:rsidRDefault="00D22396" w:rsidP="00D22396"/>
    <w:p w:rsidR="00D22396" w:rsidRPr="00D22396" w:rsidRDefault="00D22396" w:rsidP="00D22396">
      <w:pPr>
        <w:ind w:left="3600" w:hanging="720"/>
      </w:pPr>
      <w:r w:rsidRPr="00D22396">
        <w:t>ii)</w:t>
      </w:r>
      <w:r>
        <w:tab/>
      </w:r>
      <w:r w:rsidRPr="00D22396">
        <w:t>Description of its intended best practices for communicating that unwanted materials have exceeded their maximum volumes</w:t>
      </w:r>
      <w:r w:rsidR="00ED2D97">
        <w:t>;</w:t>
      </w:r>
    </w:p>
    <w:p w:rsidR="00D22396" w:rsidRPr="00D22396" w:rsidRDefault="00D22396" w:rsidP="00D22396"/>
    <w:p w:rsidR="00D22396" w:rsidRPr="00D22396" w:rsidRDefault="00D22396" w:rsidP="00D22396">
      <w:pPr>
        <w:ind w:left="2160" w:hanging="720"/>
      </w:pPr>
      <w:r w:rsidRPr="00D22396">
        <w:t>5)</w:t>
      </w:r>
      <w:r>
        <w:tab/>
      </w:r>
      <w:r w:rsidRPr="00D22396">
        <w:t>Description of its intended best practices for making hazardous waste determinations, including specifying the duties of the individuals involved in the process (see the required standards at Section</w:t>
      </w:r>
      <w:r w:rsidR="00ED2D97">
        <w:t>s</w:t>
      </w:r>
      <w:r w:rsidRPr="00D22396">
        <w:t xml:space="preserve"> 722.111</w:t>
      </w:r>
      <w:r w:rsidR="001A4430">
        <w:t>(a) through (d)</w:t>
      </w:r>
      <w:r w:rsidRPr="00D22396">
        <w:t xml:space="preserve"> and 722.309 through 722.312)</w:t>
      </w:r>
      <w:r w:rsidR="00ED2D97">
        <w:t>;</w:t>
      </w:r>
    </w:p>
    <w:p w:rsidR="00D22396" w:rsidRPr="00D22396" w:rsidRDefault="00D22396" w:rsidP="00D22396"/>
    <w:p w:rsidR="00D22396" w:rsidRPr="00D22396" w:rsidRDefault="00D22396" w:rsidP="00D22396">
      <w:pPr>
        <w:ind w:left="2160" w:hanging="720"/>
      </w:pPr>
      <w:r w:rsidRPr="00D22396">
        <w:t>6)</w:t>
      </w:r>
      <w:r>
        <w:tab/>
      </w:r>
      <w:r w:rsidRPr="00D22396">
        <w:t>Describe its intended best practices for laboratory clean-outs, if the eligible academic entity plans to use the incentives for laboratory clean-outs provided in Section 722.313, including the following:</w:t>
      </w:r>
    </w:p>
    <w:p w:rsidR="00D22396" w:rsidRPr="00D22396" w:rsidRDefault="00D22396" w:rsidP="00D22396"/>
    <w:p w:rsidR="00D22396" w:rsidRPr="00D22396" w:rsidRDefault="00D22396" w:rsidP="00D22396">
      <w:pPr>
        <w:ind w:left="2880" w:hanging="720"/>
      </w:pPr>
      <w:r w:rsidRPr="00D22396">
        <w:t>A)</w:t>
      </w:r>
      <w:r>
        <w:tab/>
      </w:r>
      <w:r w:rsidRPr="00D22396">
        <w:t xml:space="preserve">Procedures for conducting laboratory clean-outs (see the required standards at Section 722.313(a)(1) through </w:t>
      </w:r>
      <w:r w:rsidR="00BD574F">
        <w:t>(a)</w:t>
      </w:r>
      <w:r w:rsidRPr="00D22396">
        <w:t>(3)); and</w:t>
      </w:r>
    </w:p>
    <w:p w:rsidR="00D22396" w:rsidRPr="00D22396" w:rsidRDefault="00D22396" w:rsidP="00D22396"/>
    <w:p w:rsidR="00D22396" w:rsidRPr="00D22396" w:rsidRDefault="00D22396" w:rsidP="00D22396">
      <w:pPr>
        <w:ind w:left="2880" w:hanging="720"/>
      </w:pPr>
      <w:r w:rsidRPr="00D22396">
        <w:lastRenderedPageBreak/>
        <w:t>B)</w:t>
      </w:r>
      <w:r>
        <w:tab/>
      </w:r>
      <w:r w:rsidRPr="00D22396">
        <w:t>Procedures for documenting laboratory clean-outs (see the required standards at Section 722.313(a)(4))</w:t>
      </w:r>
      <w:r w:rsidR="00ED2D97">
        <w:t>;</w:t>
      </w:r>
    </w:p>
    <w:p w:rsidR="00D22396" w:rsidRPr="00D22396" w:rsidRDefault="00D22396" w:rsidP="00D22396"/>
    <w:p w:rsidR="00D22396" w:rsidRPr="00D22396" w:rsidRDefault="00D22396" w:rsidP="00D22396">
      <w:pPr>
        <w:ind w:left="2160" w:hanging="720"/>
      </w:pPr>
      <w:r w:rsidRPr="00D22396">
        <w:t>7)</w:t>
      </w:r>
      <w:r>
        <w:tab/>
      </w:r>
      <w:r w:rsidRPr="00D22396">
        <w:t>Description of the eligible academic entity</w:t>
      </w:r>
      <w:r w:rsidR="006F4BFE">
        <w:t>'</w:t>
      </w:r>
      <w:r w:rsidRPr="00D22396">
        <w:t>s intended best practices for emergency prevention, including the following information:</w:t>
      </w:r>
    </w:p>
    <w:p w:rsidR="00D22396" w:rsidRPr="00D22396" w:rsidRDefault="00D22396" w:rsidP="00D22396"/>
    <w:p w:rsidR="00D22396" w:rsidRPr="00D22396" w:rsidRDefault="00D22396" w:rsidP="00D22396">
      <w:pPr>
        <w:ind w:left="2880" w:hanging="720"/>
      </w:pPr>
      <w:r w:rsidRPr="00D22396">
        <w:t>A)</w:t>
      </w:r>
      <w:r>
        <w:tab/>
      </w:r>
      <w:r w:rsidRPr="00D22396">
        <w:t>Procedures for emergency prevention, notification, and response that are appropriate to the hazards in the laboratory;</w:t>
      </w:r>
    </w:p>
    <w:p w:rsidR="00D22396" w:rsidRPr="00D22396" w:rsidRDefault="00D22396" w:rsidP="00D22396"/>
    <w:p w:rsidR="00D22396" w:rsidRPr="00D22396" w:rsidRDefault="00D22396" w:rsidP="00D22396">
      <w:pPr>
        <w:ind w:left="2880" w:hanging="720"/>
      </w:pPr>
      <w:r w:rsidRPr="00D22396">
        <w:t>B)</w:t>
      </w:r>
      <w:r>
        <w:tab/>
      </w:r>
      <w:r w:rsidRPr="00D22396">
        <w:t>A list of chemicals that the eligible academic entity has, or is likely to have, that become more dangerous when they exceed their expiration date or as they degrade;</w:t>
      </w:r>
    </w:p>
    <w:p w:rsidR="00D22396" w:rsidRPr="00D22396" w:rsidRDefault="00D22396" w:rsidP="00D22396"/>
    <w:p w:rsidR="00D22396" w:rsidRPr="00D22396" w:rsidRDefault="00D22396" w:rsidP="00D22396">
      <w:pPr>
        <w:ind w:left="2880" w:hanging="720"/>
      </w:pPr>
      <w:r w:rsidRPr="00D22396">
        <w:t>C)</w:t>
      </w:r>
      <w:r>
        <w:tab/>
      </w:r>
      <w:r w:rsidRPr="00D22396">
        <w:t>Procedures to safely dispose of chemicals that become more dangerous when they exceed their expiration date or as they degrade; and</w:t>
      </w:r>
    </w:p>
    <w:p w:rsidR="00D22396" w:rsidRPr="00D22396" w:rsidRDefault="00D22396" w:rsidP="00D22396"/>
    <w:p w:rsidR="00D22396" w:rsidRPr="00D22396" w:rsidRDefault="00D22396" w:rsidP="00D22396">
      <w:pPr>
        <w:ind w:left="1440" w:firstLine="720"/>
      </w:pPr>
      <w:r w:rsidRPr="00D22396">
        <w:t>D)</w:t>
      </w:r>
      <w:r>
        <w:tab/>
      </w:r>
      <w:r w:rsidRPr="00D22396">
        <w:t>Procedures for the timely characterization of unknown chemicals.</w:t>
      </w:r>
    </w:p>
    <w:p w:rsidR="00D22396" w:rsidRPr="00D22396" w:rsidRDefault="00D22396" w:rsidP="00D22396"/>
    <w:p w:rsidR="00D22396" w:rsidRPr="00D22396" w:rsidRDefault="00D22396" w:rsidP="00D22396">
      <w:pPr>
        <w:ind w:left="1440" w:hanging="720"/>
      </w:pPr>
      <w:r w:rsidRPr="00D22396">
        <w:t>c)</w:t>
      </w:r>
      <w:r>
        <w:tab/>
      </w:r>
      <w:r w:rsidRPr="00D22396">
        <w:t>An eligible academic entity must make its Laboratory Management Plan available to laboratory workers, students, or any others at the eligible academic entity who may request it.</w:t>
      </w:r>
    </w:p>
    <w:p w:rsidR="00D22396" w:rsidRPr="00D22396" w:rsidRDefault="00D22396" w:rsidP="00D22396"/>
    <w:p w:rsidR="00D22396" w:rsidRPr="00D22396" w:rsidRDefault="00D22396" w:rsidP="00D22396">
      <w:pPr>
        <w:ind w:left="1440" w:hanging="720"/>
      </w:pPr>
      <w:r w:rsidRPr="00D22396">
        <w:t>d)</w:t>
      </w:r>
      <w:r>
        <w:tab/>
      </w:r>
      <w:r w:rsidRPr="00D22396">
        <w:t>An eligible academic entity must review and revise its Laboratory Management Plan as needed.</w:t>
      </w:r>
    </w:p>
    <w:p w:rsidR="00D22396" w:rsidRPr="00D22396" w:rsidRDefault="00D22396" w:rsidP="00D22396"/>
    <w:p w:rsidR="002C30F0" w:rsidRPr="00D55B37" w:rsidRDefault="001A4430">
      <w:pPr>
        <w:pStyle w:val="JCARSourceNote"/>
        <w:ind w:left="720"/>
      </w:pPr>
      <w:r>
        <w:t xml:space="preserve">(Source:  Amended at 42 Ill. Reg. </w:t>
      </w:r>
      <w:r w:rsidR="004E2122">
        <w:t>22047</w:t>
      </w:r>
      <w:r>
        <w:t xml:space="preserve">, effective </w:t>
      </w:r>
      <w:bookmarkStart w:id="0" w:name="_GoBack"/>
      <w:r w:rsidR="004E2122">
        <w:t>November 19, 2018</w:t>
      </w:r>
      <w:bookmarkEnd w:id="0"/>
      <w:r>
        <w:t>)</w:t>
      </w:r>
    </w:p>
    <w:sectPr w:rsidR="002C30F0"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9C9" w:rsidRDefault="00CC59C9">
      <w:r>
        <w:separator/>
      </w:r>
    </w:p>
  </w:endnote>
  <w:endnote w:type="continuationSeparator" w:id="0">
    <w:p w:rsidR="00CC59C9" w:rsidRDefault="00CC5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9C9" w:rsidRDefault="00CC59C9">
      <w:r>
        <w:separator/>
      </w:r>
    </w:p>
  </w:footnote>
  <w:footnote w:type="continuationSeparator" w:id="0">
    <w:p w:rsidR="00CC59C9" w:rsidRDefault="00CC59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239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5E90"/>
    <w:rsid w:val="00050531"/>
    <w:rsid w:val="00057192"/>
    <w:rsid w:val="0006041A"/>
    <w:rsid w:val="00066013"/>
    <w:rsid w:val="000676A6"/>
    <w:rsid w:val="00074368"/>
    <w:rsid w:val="000765E0"/>
    <w:rsid w:val="00083E97"/>
    <w:rsid w:val="0008539F"/>
    <w:rsid w:val="00085CDF"/>
    <w:rsid w:val="0008689B"/>
    <w:rsid w:val="000943C4"/>
    <w:rsid w:val="00096F42"/>
    <w:rsid w:val="00097B01"/>
    <w:rsid w:val="000A4C0F"/>
    <w:rsid w:val="000B2808"/>
    <w:rsid w:val="000B2839"/>
    <w:rsid w:val="000B4119"/>
    <w:rsid w:val="000C6D3D"/>
    <w:rsid w:val="000C7A6D"/>
    <w:rsid w:val="000D074F"/>
    <w:rsid w:val="000D167F"/>
    <w:rsid w:val="000D1DBC"/>
    <w:rsid w:val="000D225F"/>
    <w:rsid w:val="000D269B"/>
    <w:rsid w:val="000E04BB"/>
    <w:rsid w:val="000E08CB"/>
    <w:rsid w:val="000E6BBD"/>
    <w:rsid w:val="000E6FF6"/>
    <w:rsid w:val="000E7A0A"/>
    <w:rsid w:val="000F1E7C"/>
    <w:rsid w:val="000F25A1"/>
    <w:rsid w:val="000F6AB6"/>
    <w:rsid w:val="000F6B97"/>
    <w:rsid w:val="000F6C6D"/>
    <w:rsid w:val="00103C24"/>
    <w:rsid w:val="00110A0B"/>
    <w:rsid w:val="00114190"/>
    <w:rsid w:val="0012221A"/>
    <w:rsid w:val="001328A0"/>
    <w:rsid w:val="0014104E"/>
    <w:rsid w:val="001433F3"/>
    <w:rsid w:val="00145C78"/>
    <w:rsid w:val="00146F30"/>
    <w:rsid w:val="00146FFB"/>
    <w:rsid w:val="00147FDA"/>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00A5"/>
    <w:rsid w:val="001A4430"/>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2A4C"/>
    <w:rsid w:val="00274640"/>
    <w:rsid w:val="002760EE"/>
    <w:rsid w:val="002772A5"/>
    <w:rsid w:val="0028037A"/>
    <w:rsid w:val="00280FB4"/>
    <w:rsid w:val="00290686"/>
    <w:rsid w:val="002958AD"/>
    <w:rsid w:val="002A54F1"/>
    <w:rsid w:val="002A643F"/>
    <w:rsid w:val="002A72C2"/>
    <w:rsid w:val="002A7B76"/>
    <w:rsid w:val="002A7CB6"/>
    <w:rsid w:val="002B67C1"/>
    <w:rsid w:val="002B7812"/>
    <w:rsid w:val="002C30F0"/>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174A8"/>
    <w:rsid w:val="00322AC2"/>
    <w:rsid w:val="00323B50"/>
    <w:rsid w:val="00327B81"/>
    <w:rsid w:val="003303A2"/>
    <w:rsid w:val="00332EB2"/>
    <w:rsid w:val="00335723"/>
    <w:rsid w:val="00337BB9"/>
    <w:rsid w:val="00337CEB"/>
    <w:rsid w:val="003464C2"/>
    <w:rsid w:val="00350372"/>
    <w:rsid w:val="003547CB"/>
    <w:rsid w:val="00356003"/>
    <w:rsid w:val="00366029"/>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149"/>
    <w:rsid w:val="003D0D44"/>
    <w:rsid w:val="003D12E4"/>
    <w:rsid w:val="003D4D4A"/>
    <w:rsid w:val="003F0EC8"/>
    <w:rsid w:val="003F2136"/>
    <w:rsid w:val="003F24E6"/>
    <w:rsid w:val="003F3A28"/>
    <w:rsid w:val="003F5FD7"/>
    <w:rsid w:val="003F60AF"/>
    <w:rsid w:val="003F71F9"/>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2122"/>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05E63"/>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61DB"/>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4BFE"/>
    <w:rsid w:val="006F7BF8"/>
    <w:rsid w:val="00700FB4"/>
    <w:rsid w:val="00702A38"/>
    <w:rsid w:val="0070602C"/>
    <w:rsid w:val="00706857"/>
    <w:rsid w:val="00717DBE"/>
    <w:rsid w:val="00720025"/>
    <w:rsid w:val="00723CE8"/>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4360"/>
    <w:rsid w:val="007A7D79"/>
    <w:rsid w:val="007B72D5"/>
    <w:rsid w:val="007C4EE5"/>
    <w:rsid w:val="007D0B2D"/>
    <w:rsid w:val="007E5206"/>
    <w:rsid w:val="007F1A7F"/>
    <w:rsid w:val="007F28A2"/>
    <w:rsid w:val="007F3365"/>
    <w:rsid w:val="00804082"/>
    <w:rsid w:val="00804A88"/>
    <w:rsid w:val="00805D72"/>
    <w:rsid w:val="00806780"/>
    <w:rsid w:val="008078E8"/>
    <w:rsid w:val="00810296"/>
    <w:rsid w:val="00821428"/>
    <w:rsid w:val="008217DE"/>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294"/>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D93"/>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4DF1"/>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3703"/>
    <w:rsid w:val="00BB6CAC"/>
    <w:rsid w:val="00BC000F"/>
    <w:rsid w:val="00BC00FF"/>
    <w:rsid w:val="00BD0ED2"/>
    <w:rsid w:val="00BD574F"/>
    <w:rsid w:val="00BD5933"/>
    <w:rsid w:val="00BE03CA"/>
    <w:rsid w:val="00BE1C8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26BE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59C9"/>
    <w:rsid w:val="00CD3723"/>
    <w:rsid w:val="00CD5413"/>
    <w:rsid w:val="00CE01BF"/>
    <w:rsid w:val="00CE4292"/>
    <w:rsid w:val="00D02E5E"/>
    <w:rsid w:val="00D03A79"/>
    <w:rsid w:val="00D0676C"/>
    <w:rsid w:val="00D10D50"/>
    <w:rsid w:val="00D17DC3"/>
    <w:rsid w:val="00D2155A"/>
    <w:rsid w:val="00D22396"/>
    <w:rsid w:val="00D27015"/>
    <w:rsid w:val="00D2776C"/>
    <w:rsid w:val="00D27E4E"/>
    <w:rsid w:val="00D32AA7"/>
    <w:rsid w:val="00D33832"/>
    <w:rsid w:val="00D46468"/>
    <w:rsid w:val="00D46DDF"/>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E73E9"/>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2D97"/>
    <w:rsid w:val="00EE2300"/>
    <w:rsid w:val="00EF1651"/>
    <w:rsid w:val="00EF3ED4"/>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43C5"/>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717BF8-DF5B-41F8-AB18-EF685641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ootnoteText"/>
    <w:qFormat/>
    <w:rsid w:val="00D22396"/>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D22396"/>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2018-11-29T14:48:00Z</dcterms:created>
  <dcterms:modified xsi:type="dcterms:W3CDTF">2018-12-04T20:36:00Z</dcterms:modified>
</cp:coreProperties>
</file>