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AE" w:rsidRPr="008534AE" w:rsidRDefault="008534AE" w:rsidP="008534AE">
      <w:pPr>
        <w:rPr>
          <w:b/>
        </w:rPr>
      </w:pPr>
      <w:bookmarkStart w:id="0" w:name="_GoBack"/>
      <w:bookmarkEnd w:id="0"/>
    </w:p>
    <w:p w:rsidR="008534AE" w:rsidRPr="008534AE" w:rsidRDefault="008534AE" w:rsidP="008534AE">
      <w:pPr>
        <w:rPr>
          <w:b/>
        </w:rPr>
      </w:pPr>
      <w:r w:rsidRPr="008534AE">
        <w:rPr>
          <w:b/>
        </w:rPr>
        <w:t>Section 721.240  Applicability</w:t>
      </w:r>
    </w:p>
    <w:p w:rsidR="008534AE" w:rsidRPr="008534AE" w:rsidRDefault="008534AE" w:rsidP="008534AE"/>
    <w:p w:rsidR="008534AE" w:rsidRPr="008534AE" w:rsidRDefault="008534AE" w:rsidP="008534AE">
      <w:pPr>
        <w:ind w:left="1440" w:hanging="720"/>
      </w:pPr>
      <w:r w:rsidRPr="008534AE">
        <w:t>a)</w:t>
      </w:r>
      <w:r>
        <w:tab/>
      </w:r>
      <w:r w:rsidRPr="008534AE">
        <w:t xml:space="preserve">The requirements of this Subpart H apply to owners or operators of reclamation and intermediate facilities managing hazardous secondary materials excluded under </w:t>
      </w:r>
      <w:r w:rsidR="00DB4B65">
        <w:t xml:space="preserve">Section </w:t>
      </w:r>
      <w:r w:rsidRPr="008534AE">
        <w:t>721.104(a)(24), except as provided otherwise in this Section.</w:t>
      </w:r>
    </w:p>
    <w:p w:rsidR="008534AE" w:rsidRPr="008534AE" w:rsidRDefault="008534AE" w:rsidP="008534AE"/>
    <w:p w:rsidR="008534AE" w:rsidRPr="008534AE" w:rsidRDefault="008534AE" w:rsidP="008534AE">
      <w:pPr>
        <w:ind w:left="1440" w:hanging="720"/>
      </w:pPr>
      <w:r w:rsidRPr="008534AE">
        <w:t>b)</w:t>
      </w:r>
      <w:r>
        <w:tab/>
      </w:r>
      <w:r w:rsidRPr="008534AE">
        <w:t>States and the federal government are exempt from the financial assurance requirements of this Subpart H.</w:t>
      </w:r>
    </w:p>
    <w:p w:rsidR="001C71C2" w:rsidRDefault="001C71C2" w:rsidP="008534AE"/>
    <w:p w:rsidR="008534AE" w:rsidRPr="00D55B37" w:rsidRDefault="008534AE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973324">
        <w:t>18611</w:t>
      </w:r>
      <w:r w:rsidRPr="00D55B37">
        <w:t xml:space="preserve">, effective </w:t>
      </w:r>
      <w:r w:rsidR="00924812">
        <w:t>November 12, 2010</w:t>
      </w:r>
      <w:r w:rsidRPr="00D55B37">
        <w:t>)</w:t>
      </w:r>
    </w:p>
    <w:sectPr w:rsidR="008534AE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B2" w:rsidRDefault="00A622B2">
      <w:r>
        <w:separator/>
      </w:r>
    </w:p>
  </w:endnote>
  <w:endnote w:type="continuationSeparator" w:id="0">
    <w:p w:rsidR="00A622B2" w:rsidRDefault="00A6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B2" w:rsidRDefault="00A622B2">
      <w:r>
        <w:separator/>
      </w:r>
    </w:p>
  </w:footnote>
  <w:footnote w:type="continuationSeparator" w:id="0">
    <w:p w:rsidR="00A622B2" w:rsidRDefault="00A6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91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6669"/>
    <w:rsid w:val="00083E97"/>
    <w:rsid w:val="00084BA5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91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C7C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A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75E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D05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34A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68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812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32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2B2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B65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8534A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8534AE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8534A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8534A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