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9E" w:rsidRDefault="00DE059E" w:rsidP="00DE05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59E" w:rsidRDefault="00DE059E" w:rsidP="00DE059E">
      <w:pPr>
        <w:widowControl w:val="0"/>
        <w:autoSpaceDE w:val="0"/>
        <w:autoSpaceDN w:val="0"/>
        <w:adjustRightInd w:val="0"/>
      </w:pPr>
      <w:r>
        <w:t>SOURCE:  Emergency rule adopted in R83-28A at 8 Ill. Reg. 12678, effective July 5, 1984, for a maximum of 150 days; adopted in R83-28B at 9 Ill. Reg. 730, effective January 3, 1985; amended in R83-28C at 10 Ill. Reg. 4875, effective March 7, 1986; emergency amendment in R86-9A at 10 Ill. Reg. 19804, effective November 5, 19</w:t>
      </w:r>
      <w:r w:rsidR="00DB1A6F">
        <w:t xml:space="preserve">86, for a maximum of 150 days. </w:t>
      </w:r>
    </w:p>
    <w:sectPr w:rsidR="00DE059E" w:rsidSect="00DE0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59E"/>
    <w:rsid w:val="00025F20"/>
    <w:rsid w:val="002C6711"/>
    <w:rsid w:val="005C3366"/>
    <w:rsid w:val="00DB1A6F"/>
    <w:rsid w:val="00DE059E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in R83-28A at 8 Ill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in R83-28A at 8 Ill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