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CA" w:rsidRDefault="00EA45CA" w:rsidP="00EA45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45CA" w:rsidRDefault="00EA45CA" w:rsidP="00EA45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705.124  Site Visit</w:t>
      </w:r>
      <w:r>
        <w:t xml:space="preserve"> </w:t>
      </w:r>
    </w:p>
    <w:p w:rsidR="00EA45CA" w:rsidRDefault="00EA45CA" w:rsidP="00EA45CA">
      <w:pPr>
        <w:widowControl w:val="0"/>
        <w:autoSpaceDE w:val="0"/>
        <w:autoSpaceDN w:val="0"/>
        <w:adjustRightInd w:val="0"/>
      </w:pPr>
    </w:p>
    <w:p w:rsidR="00EA45CA" w:rsidRDefault="00E71E0B" w:rsidP="00EA45CA">
      <w:pPr>
        <w:widowControl w:val="0"/>
        <w:autoSpaceDE w:val="0"/>
        <w:autoSpaceDN w:val="0"/>
        <w:adjustRightInd w:val="0"/>
      </w:pPr>
      <w:r>
        <w:t xml:space="preserve">If </w:t>
      </w:r>
      <w:r w:rsidR="00EA45CA">
        <w:t xml:space="preserve">the Agency decides, pursuant to Section 4(d) of the Act, that a site visit is necessary for any reason in conjunction with the processing of an application, </w:t>
      </w:r>
      <w:r>
        <w:t xml:space="preserve">the Agency must notify </w:t>
      </w:r>
      <w:r w:rsidR="00EA45CA">
        <w:t>the applicant</w:t>
      </w:r>
      <w:r>
        <w:t xml:space="preserve">, and the Agency and the applicant must schedule a </w:t>
      </w:r>
      <w:r w:rsidR="00EA45CA">
        <w:t xml:space="preserve">site visit. </w:t>
      </w:r>
    </w:p>
    <w:p w:rsidR="00333469" w:rsidRDefault="00333469" w:rsidP="00EA45CA">
      <w:pPr>
        <w:widowControl w:val="0"/>
        <w:autoSpaceDE w:val="0"/>
        <w:autoSpaceDN w:val="0"/>
        <w:adjustRightInd w:val="0"/>
      </w:pPr>
    </w:p>
    <w:p w:rsidR="00EA45CA" w:rsidRDefault="00EA45CA" w:rsidP="00EA45CA">
      <w:pPr>
        <w:widowControl w:val="0"/>
        <w:autoSpaceDE w:val="0"/>
        <w:autoSpaceDN w:val="0"/>
        <w:adjustRightInd w:val="0"/>
      </w:pPr>
      <w:r>
        <w:t xml:space="preserve">BOARD NOTE:  Derived from 40 CFR 124.3(e) </w:t>
      </w:r>
      <w:r w:rsidR="00E71E0B">
        <w:t>(200</w:t>
      </w:r>
      <w:r w:rsidR="005A48DD">
        <w:t>2</w:t>
      </w:r>
      <w:r w:rsidR="00E71E0B">
        <w:t>)</w:t>
      </w:r>
      <w:r>
        <w:t xml:space="preserve">. </w:t>
      </w:r>
    </w:p>
    <w:p w:rsidR="00E71E0B" w:rsidRDefault="00E71E0B" w:rsidP="00EA45CA">
      <w:pPr>
        <w:widowControl w:val="0"/>
        <w:autoSpaceDE w:val="0"/>
        <w:autoSpaceDN w:val="0"/>
        <w:adjustRightInd w:val="0"/>
      </w:pPr>
    </w:p>
    <w:p w:rsidR="007D4D29" w:rsidRPr="00D55B37" w:rsidRDefault="007D4D29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0845F9">
        <w:t>7</w:t>
      </w:r>
      <w:r w:rsidRPr="00D55B37">
        <w:t xml:space="preserve"> Ill. Reg. </w:t>
      </w:r>
      <w:r w:rsidR="005C5389">
        <w:t>3675</w:t>
      </w:r>
      <w:r w:rsidRPr="00D55B37">
        <w:t xml:space="preserve">, effective </w:t>
      </w:r>
      <w:r w:rsidR="005C5389">
        <w:t>February 14, 2003</w:t>
      </w:r>
      <w:r w:rsidRPr="00D55B37">
        <w:t>)</w:t>
      </w:r>
    </w:p>
    <w:sectPr w:rsidR="007D4D29" w:rsidRPr="00D55B37" w:rsidSect="00EA45C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5CA"/>
    <w:rsid w:val="000845F9"/>
    <w:rsid w:val="00154504"/>
    <w:rsid w:val="00170B62"/>
    <w:rsid w:val="001B4725"/>
    <w:rsid w:val="00333469"/>
    <w:rsid w:val="005A48DD"/>
    <w:rsid w:val="005C5389"/>
    <w:rsid w:val="007D4D29"/>
    <w:rsid w:val="00864D9C"/>
    <w:rsid w:val="00E71E0B"/>
    <w:rsid w:val="00EA45CA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1E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