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F6" w:rsidRDefault="009663F6" w:rsidP="009663F6">
      <w:pPr>
        <w:widowControl w:val="0"/>
        <w:autoSpaceDE w:val="0"/>
        <w:autoSpaceDN w:val="0"/>
        <w:adjustRightInd w:val="0"/>
      </w:pPr>
    </w:p>
    <w:p w:rsidR="009663F6" w:rsidRDefault="009663F6" w:rsidP="009663F6">
      <w:pPr>
        <w:widowControl w:val="0"/>
        <w:autoSpaceDE w:val="0"/>
        <w:autoSpaceDN w:val="0"/>
        <w:adjustRightInd w:val="0"/>
      </w:pPr>
      <w:r>
        <w:rPr>
          <w:b/>
          <w:bCs/>
        </w:rPr>
        <w:t>Section 704.288  Additional Requirements</w:t>
      </w:r>
      <w:r>
        <w:t xml:space="preserve"> </w:t>
      </w:r>
    </w:p>
    <w:p w:rsidR="009663F6" w:rsidRDefault="009663F6" w:rsidP="009663F6">
      <w:pPr>
        <w:widowControl w:val="0"/>
        <w:autoSpaceDE w:val="0"/>
        <w:autoSpaceDN w:val="0"/>
        <w:adjustRightInd w:val="0"/>
      </w:pPr>
    </w:p>
    <w:p w:rsidR="009663F6" w:rsidRDefault="009663F6" w:rsidP="009663F6">
      <w:pPr>
        <w:widowControl w:val="0"/>
        <w:autoSpaceDE w:val="0"/>
        <w:autoSpaceDN w:val="0"/>
        <w:adjustRightInd w:val="0"/>
      </w:pPr>
      <w:r>
        <w:t xml:space="preserve">Additional requirements are as follows: </w:t>
      </w:r>
    </w:p>
    <w:p w:rsidR="00891544" w:rsidRDefault="00891544" w:rsidP="009663F6">
      <w:pPr>
        <w:widowControl w:val="0"/>
        <w:autoSpaceDE w:val="0"/>
        <w:autoSpaceDN w:val="0"/>
        <w:adjustRightInd w:val="0"/>
      </w:pPr>
    </w:p>
    <w:p w:rsidR="009663F6" w:rsidRDefault="009663F6" w:rsidP="009663F6">
      <w:pPr>
        <w:widowControl w:val="0"/>
        <w:autoSpaceDE w:val="0"/>
        <w:autoSpaceDN w:val="0"/>
        <w:adjustRightInd w:val="0"/>
        <w:ind w:left="1440" w:hanging="720"/>
      </w:pPr>
      <w:r>
        <w:t>a)</w:t>
      </w:r>
      <w:r>
        <w:tab/>
        <w:t xml:space="preserve">Additional Requirements for Large-Capacity Cesspools Statewide. See Section 704.285 to determine the applicability of these additional requirements. </w:t>
      </w:r>
      <w:r w:rsidR="00752782">
        <w:t>Large</w:t>
      </w:r>
      <w:r w:rsidR="00EA0D1E">
        <w:t>-</w:t>
      </w:r>
      <w:r w:rsidR="00752782">
        <w:t>capacity cesspools are prohibited.</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1440" w:hanging="720"/>
      </w:pPr>
      <w:r>
        <w:t>b)</w:t>
      </w:r>
      <w:r>
        <w:tab/>
        <w:t xml:space="preserve">Additional Requirements for Motor Vehicle Waste Disposal Wells. See Section 704.285 to determine the applicability of these additional requirements.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160" w:hanging="720"/>
      </w:pPr>
      <w:r>
        <w:t>1)</w:t>
      </w:r>
      <w:r>
        <w:tab/>
        <w:t xml:space="preserve">If the motor vehicle waste disposal well is existing (operational or under construction by April 5, 2000) the following applies: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880" w:hanging="720"/>
      </w:pPr>
      <w:r>
        <w:t>A)</w:t>
      </w:r>
      <w:r>
        <w:tab/>
        <w:t xml:space="preserve">If the well is in a groundwater protection area, the owner or operator must close the well or obtain a permit within one year after the completion of the local source water assessment; the Agency must extend the closure deadline, but not the permit application deadline, for up to one year if it determines that the most efficient compliance option is connection to a sanitary sewer or installation of new treatment technology and the extension is necessary to implement the compliance option; </w:t>
      </w:r>
    </w:p>
    <w:p w:rsidR="00891544" w:rsidRDefault="00891544" w:rsidP="003D5617">
      <w:pPr>
        <w:widowControl w:val="0"/>
        <w:autoSpaceDE w:val="0"/>
        <w:autoSpaceDN w:val="0"/>
        <w:adjustRightInd w:val="0"/>
      </w:pPr>
    </w:p>
    <w:p w:rsidR="009663F6" w:rsidRDefault="0084481A" w:rsidP="009663F6">
      <w:pPr>
        <w:widowControl w:val="0"/>
        <w:autoSpaceDE w:val="0"/>
        <w:autoSpaceDN w:val="0"/>
        <w:adjustRightInd w:val="0"/>
        <w:ind w:left="2880" w:hanging="720"/>
      </w:pPr>
      <w:r>
        <w:t>B)</w:t>
      </w:r>
      <w:r>
        <w:tab/>
        <w:t>If the well is in an</w:t>
      </w:r>
      <w:r w:rsidR="009663F6">
        <w:t xml:space="preserve">other sensitive groundwater area, the owner or operator must </w:t>
      </w:r>
      <w:r w:rsidR="00752782">
        <w:t xml:space="preserve">immediately </w:t>
      </w:r>
      <w:r w:rsidR="009663F6">
        <w:t>close the well or obtain a permit</w:t>
      </w:r>
      <w:r w:rsidR="00752782">
        <w:t>.  The</w:t>
      </w:r>
      <w:r w:rsidR="009663F6">
        <w:t xml:space="preserve"> Agency may extend the closure deadline, but not the permit application deadline, for up to one year if it determines that the most efficient compliance option is connection to a sanitary sewer or installation of new treatment technology and the extension is necessary to implement the compliance option;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880" w:hanging="720"/>
      </w:pPr>
      <w:r>
        <w:t>C)</w:t>
      </w:r>
      <w:r>
        <w:tab/>
        <w:t xml:space="preserve">If the owner or operator plans to seek a waiver from the ban and apply for a permit by the date the owner or operator submits its permit application, the owner or operator must meet the maximum contaminant levels (MCLs) for drinking water, set forth in 35 Ill. Adm. Code 611, at the point of injection while the permit application is under review, if the owner or operator chooses to keep operating the well;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880" w:hanging="720"/>
      </w:pPr>
      <w:r>
        <w:t>D)</w:t>
      </w:r>
      <w:r>
        <w:tab/>
        <w:t xml:space="preserve">If the owner or operator receives a permit, the owner or operator must comply with all permit conditions by the dates specified in its permit, if the owner or operator chooses to keep operating the well, including requirements to meet MCLs and other </w:t>
      </w:r>
      <w:r w:rsidR="00602D81">
        <w:t>health-based</w:t>
      </w:r>
      <w:r>
        <w:t xml:space="preserve"> standards at the point of injection, follow best management practices, and monitor the injectate and sludge quality;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880" w:hanging="720"/>
      </w:pPr>
      <w:r>
        <w:t>E)</w:t>
      </w:r>
      <w:r>
        <w:tab/>
      </w:r>
      <w:r w:rsidR="00752782" w:rsidRPr="00752782">
        <w:t>This subsection (b)(1)(E) corresponds with 40 CFR 144.88(b)(1)(v), which provides a contingency for compliance before dates now past.  This statement maintains structural consistency with the federal rules.</w:t>
      </w:r>
      <w:r>
        <w:t xml:space="preserve">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880" w:hanging="720"/>
      </w:pPr>
      <w:r>
        <w:t>F)</w:t>
      </w:r>
      <w:r>
        <w:tab/>
      </w:r>
      <w:r w:rsidR="00752782" w:rsidRPr="00752782">
        <w:t>This subsection (b)(1)(F) corresponds with 40 CFR 144.88(b)(1)(vi), which provides a contingency for compliance before dates now past.  This statement maintains structural consistency with the federal rules.</w:t>
      </w:r>
      <w:r>
        <w:t xml:space="preserve">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880" w:hanging="720"/>
      </w:pPr>
      <w:r>
        <w:t>G)</w:t>
      </w:r>
      <w:r>
        <w:tab/>
        <w:t xml:space="preserve">If the owner or operator plans to close its well, the owner or operator must notify the Agency of its intent to close the well (this includes closing the well prior to conversion) by at least 30 days prior to closure. </w:t>
      </w:r>
    </w:p>
    <w:p w:rsidR="00891544" w:rsidRDefault="00891544" w:rsidP="003D5617">
      <w:pPr>
        <w:widowControl w:val="0"/>
        <w:autoSpaceDE w:val="0"/>
        <w:autoSpaceDN w:val="0"/>
        <w:adjustRightInd w:val="0"/>
      </w:pPr>
    </w:p>
    <w:p w:rsidR="009663F6" w:rsidRDefault="009663F6" w:rsidP="0084481A">
      <w:pPr>
        <w:widowControl w:val="0"/>
        <w:autoSpaceDE w:val="0"/>
        <w:autoSpaceDN w:val="0"/>
        <w:adjustRightInd w:val="0"/>
        <w:ind w:left="2880"/>
      </w:pPr>
      <w:r>
        <w:t>BOARD NOTE:  In the corresponding note to 40 CFR 144.83(a), USEPA states that this information is requested on the federal form entitled "Preclosure Notification for Closure of Injection Wells"</w:t>
      </w:r>
      <w:r w:rsidR="0084481A">
        <w:t>.</w:t>
      </w:r>
      <w:r>
        <w:t xml:space="preserve"> Although the fo</w:t>
      </w:r>
      <w:r w:rsidR="005E1E9A">
        <w:t>r</w:t>
      </w:r>
      <w:r>
        <w:t xml:space="preserve">m "Preclosure Notification for Closure of Injection Wells" is acceptable to USEPA, the Agency may develop alternative forms for use in this State. </w:t>
      </w:r>
    </w:p>
    <w:p w:rsidR="00891544" w:rsidRDefault="00891544" w:rsidP="003D5617">
      <w:pPr>
        <w:widowControl w:val="0"/>
        <w:autoSpaceDE w:val="0"/>
        <w:autoSpaceDN w:val="0"/>
        <w:adjustRightInd w:val="0"/>
      </w:pPr>
    </w:p>
    <w:p w:rsidR="009663F6" w:rsidRDefault="009663F6" w:rsidP="0084481A">
      <w:pPr>
        <w:widowControl w:val="0"/>
        <w:autoSpaceDE w:val="0"/>
        <w:autoSpaceDN w:val="0"/>
        <w:adjustRightInd w:val="0"/>
        <w:ind w:left="2160"/>
      </w:pPr>
      <w:r>
        <w:t>BOARD NOTE:  Any Agency determination of the most efficient compliance option under subsection (b)(1)(A), (b)(1)(B), or (b)(1)(E)</w:t>
      </w:r>
      <w:r w:rsidR="00602D81">
        <w:t xml:space="preserve"> </w:t>
      </w:r>
      <w:r>
        <w:t xml:space="preserve">is subject to Board review pursuant to Section 40 of the Act. </w:t>
      </w:r>
    </w:p>
    <w:p w:rsidR="00891544" w:rsidRDefault="00891544" w:rsidP="003D5617">
      <w:pPr>
        <w:widowControl w:val="0"/>
        <w:autoSpaceDE w:val="0"/>
        <w:autoSpaceDN w:val="0"/>
        <w:adjustRightInd w:val="0"/>
      </w:pPr>
    </w:p>
    <w:p w:rsidR="009663F6" w:rsidRDefault="009663F6" w:rsidP="009663F6">
      <w:pPr>
        <w:widowControl w:val="0"/>
        <w:autoSpaceDE w:val="0"/>
        <w:autoSpaceDN w:val="0"/>
        <w:adjustRightInd w:val="0"/>
        <w:ind w:left="2160" w:hanging="720"/>
      </w:pPr>
      <w:r>
        <w:t>2)</w:t>
      </w:r>
      <w:r>
        <w:tab/>
        <w:t xml:space="preserve">If the motor vehicle waste disposal well is new or converted (construction not started before April 5, 2000) it is prohibited. </w:t>
      </w:r>
    </w:p>
    <w:p w:rsidR="00891544" w:rsidRDefault="00891544" w:rsidP="009663F6">
      <w:pPr>
        <w:widowControl w:val="0"/>
        <w:autoSpaceDE w:val="0"/>
        <w:autoSpaceDN w:val="0"/>
        <w:adjustRightInd w:val="0"/>
      </w:pPr>
      <w:bookmarkStart w:id="0" w:name="_GoBack"/>
      <w:bookmarkEnd w:id="0"/>
    </w:p>
    <w:p w:rsidR="009663F6" w:rsidRDefault="009663F6" w:rsidP="009663F6">
      <w:pPr>
        <w:widowControl w:val="0"/>
        <w:autoSpaceDE w:val="0"/>
        <w:autoSpaceDN w:val="0"/>
        <w:adjustRightInd w:val="0"/>
      </w:pPr>
      <w:r>
        <w:t>BOARD NOTE:  Derived from 40 CFR 144.88 (</w:t>
      </w:r>
      <w:r w:rsidR="00752782">
        <w:t>2017</w:t>
      </w:r>
      <w:r>
        <w:t xml:space="preserve">). </w:t>
      </w:r>
    </w:p>
    <w:p w:rsidR="009663F6" w:rsidRDefault="009663F6" w:rsidP="009663F6">
      <w:pPr>
        <w:widowControl w:val="0"/>
        <w:autoSpaceDE w:val="0"/>
        <w:autoSpaceDN w:val="0"/>
        <w:adjustRightInd w:val="0"/>
      </w:pPr>
    </w:p>
    <w:p w:rsidR="00602D81" w:rsidRPr="00D55B37" w:rsidRDefault="00752782">
      <w:pPr>
        <w:pStyle w:val="JCARSourceNote"/>
        <w:ind w:left="720"/>
      </w:pPr>
      <w:r>
        <w:t xml:space="preserve">(Source:  Amended at 42 Ill. Reg. </w:t>
      </w:r>
      <w:r w:rsidR="0067518B">
        <w:t>21095</w:t>
      </w:r>
      <w:r>
        <w:t xml:space="preserve">, effective </w:t>
      </w:r>
      <w:r w:rsidR="00190C5D">
        <w:t>November 19, 2018</w:t>
      </w:r>
      <w:r>
        <w:t>)</w:t>
      </w:r>
    </w:p>
    <w:sectPr w:rsidR="00602D81" w:rsidRPr="00D55B37" w:rsidSect="009663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3F6"/>
    <w:rsid w:val="000B551C"/>
    <w:rsid w:val="000B62D4"/>
    <w:rsid w:val="00190C5D"/>
    <w:rsid w:val="003D5617"/>
    <w:rsid w:val="0044613D"/>
    <w:rsid w:val="00565E35"/>
    <w:rsid w:val="005C3366"/>
    <w:rsid w:val="005E1E9A"/>
    <w:rsid w:val="00602D81"/>
    <w:rsid w:val="0067518B"/>
    <w:rsid w:val="006D5D15"/>
    <w:rsid w:val="00752782"/>
    <w:rsid w:val="0084481A"/>
    <w:rsid w:val="00891544"/>
    <w:rsid w:val="00917CBE"/>
    <w:rsid w:val="009663F6"/>
    <w:rsid w:val="00C44D8A"/>
    <w:rsid w:val="00E0379E"/>
    <w:rsid w:val="00EA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554EAC-4AA5-44D4-B8F8-B4A85E47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2018-11-28T16:21:00Z</dcterms:modified>
</cp:coreProperties>
</file>