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9C" w:rsidRDefault="00E2049C" w:rsidP="00E20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049C" w:rsidRDefault="00E2049C" w:rsidP="00E20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704.210  Applicability</w:t>
      </w:r>
      <w:r>
        <w:t xml:space="preserve"> </w:t>
      </w:r>
    </w:p>
    <w:p w:rsidR="00E2049C" w:rsidRDefault="00E2049C" w:rsidP="00E2049C">
      <w:pPr>
        <w:widowControl w:val="0"/>
        <w:autoSpaceDE w:val="0"/>
        <w:autoSpaceDN w:val="0"/>
        <w:adjustRightInd w:val="0"/>
      </w:pPr>
    </w:p>
    <w:p w:rsidR="00E2049C" w:rsidRDefault="00E2049C" w:rsidP="00E2049C">
      <w:pPr>
        <w:widowControl w:val="0"/>
        <w:autoSpaceDE w:val="0"/>
        <w:autoSpaceDN w:val="0"/>
        <w:adjustRightInd w:val="0"/>
      </w:pPr>
      <w:r>
        <w:t>Sections 704.212, 704.213</w:t>
      </w:r>
      <w:r w:rsidR="006C43FA">
        <w:t>,</w:t>
      </w:r>
      <w:r>
        <w:t xml:space="preserve"> and 704.240 apply to </w:t>
      </w:r>
      <w:r w:rsidR="002D7433">
        <w:t>the owner</w:t>
      </w:r>
      <w:r w:rsidR="00BD7C05">
        <w:t xml:space="preserve"> or operator</w:t>
      </w:r>
      <w:r>
        <w:t xml:space="preserve"> of </w:t>
      </w:r>
      <w:r w:rsidR="002D7433">
        <w:t>an</w:t>
      </w:r>
      <w:r>
        <w:t xml:space="preserve"> existing </w:t>
      </w:r>
      <w:r w:rsidR="002D7433">
        <w:t>or</w:t>
      </w:r>
      <w:r>
        <w:t xml:space="preserve"> new Class I Hazardous waste injection </w:t>
      </w:r>
      <w:r w:rsidR="002D7433">
        <w:t>well</w:t>
      </w:r>
      <w:r>
        <w:t>, except as provided otherwise in this Subpart</w:t>
      </w:r>
      <w:r w:rsidR="002D7433">
        <w:t xml:space="preserve"> G</w:t>
      </w:r>
      <w:r>
        <w:t xml:space="preserve">. </w:t>
      </w:r>
    </w:p>
    <w:p w:rsidR="003063E3" w:rsidRDefault="003063E3" w:rsidP="00E2049C">
      <w:pPr>
        <w:widowControl w:val="0"/>
        <w:autoSpaceDE w:val="0"/>
        <w:autoSpaceDN w:val="0"/>
        <w:adjustRightInd w:val="0"/>
      </w:pPr>
    </w:p>
    <w:p w:rsidR="00E2049C" w:rsidRDefault="002D7433" w:rsidP="00E2049C">
      <w:pPr>
        <w:widowControl w:val="0"/>
        <w:autoSpaceDE w:val="0"/>
        <w:autoSpaceDN w:val="0"/>
        <w:adjustRightInd w:val="0"/>
      </w:pPr>
      <w:r>
        <w:t>BOARD NOTE:  Derived from</w:t>
      </w:r>
      <w:r w:rsidR="00E2049C">
        <w:t xml:space="preserve"> 40 CFR 144.60</w:t>
      </w:r>
      <w:r>
        <w:t xml:space="preserve"> (2005)</w:t>
      </w:r>
      <w:r w:rsidR="00E2049C">
        <w:t xml:space="preserve">. </w:t>
      </w:r>
    </w:p>
    <w:p w:rsidR="00E2049C" w:rsidRDefault="00E2049C" w:rsidP="00E2049C">
      <w:pPr>
        <w:widowControl w:val="0"/>
        <w:autoSpaceDE w:val="0"/>
        <w:autoSpaceDN w:val="0"/>
        <w:adjustRightInd w:val="0"/>
      </w:pPr>
    </w:p>
    <w:p w:rsidR="002D7433" w:rsidRPr="00D55B37" w:rsidRDefault="002D74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D7C05">
        <w:t>1</w:t>
      </w:r>
      <w:r>
        <w:t xml:space="preserve"> I</w:t>
      </w:r>
      <w:r w:rsidRPr="00D55B37">
        <w:t xml:space="preserve">ll. Reg. </w:t>
      </w:r>
      <w:r w:rsidR="008F2039">
        <w:t>605</w:t>
      </w:r>
      <w:r w:rsidRPr="00D55B37">
        <w:t xml:space="preserve">, effective </w:t>
      </w:r>
      <w:r w:rsidR="00A430E7">
        <w:t>December 20, 2006</w:t>
      </w:r>
      <w:r w:rsidRPr="00D55B37">
        <w:t>)</w:t>
      </w:r>
    </w:p>
    <w:sectPr w:rsidR="002D7433" w:rsidRPr="00D55B37" w:rsidSect="00E20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49C"/>
    <w:rsid w:val="002D7433"/>
    <w:rsid w:val="003063E3"/>
    <w:rsid w:val="0033499C"/>
    <w:rsid w:val="00383074"/>
    <w:rsid w:val="005C3366"/>
    <w:rsid w:val="006C43FA"/>
    <w:rsid w:val="008D2486"/>
    <w:rsid w:val="008F2039"/>
    <w:rsid w:val="009C6099"/>
    <w:rsid w:val="009F0160"/>
    <w:rsid w:val="00A430E7"/>
    <w:rsid w:val="00BD7C05"/>
    <w:rsid w:val="00E2049C"/>
    <w:rsid w:val="00E6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7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