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8D" w:rsidRDefault="00653E8D" w:rsidP="00653E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3E8D" w:rsidRDefault="00653E8D" w:rsidP="00653E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704.103  Identification of Aquifers</w:t>
      </w:r>
      <w:r>
        <w:t xml:space="preserve"> </w:t>
      </w:r>
    </w:p>
    <w:p w:rsidR="00653E8D" w:rsidRDefault="00653E8D" w:rsidP="00653E8D">
      <w:pPr>
        <w:widowControl w:val="0"/>
        <w:autoSpaceDE w:val="0"/>
        <w:autoSpaceDN w:val="0"/>
        <w:adjustRightInd w:val="0"/>
      </w:pPr>
    </w:p>
    <w:p w:rsidR="00653E8D" w:rsidRDefault="00653E8D" w:rsidP="00653E8D">
      <w:pPr>
        <w:widowControl w:val="0"/>
        <w:autoSpaceDE w:val="0"/>
        <w:autoSpaceDN w:val="0"/>
        <w:adjustRightInd w:val="0"/>
      </w:pPr>
      <w:r>
        <w:t xml:space="preserve">During UIC program development, the Agency may identify aquifers and portions of aquifers </w:t>
      </w:r>
      <w:r w:rsidR="00F26454">
        <w:t>that</w:t>
      </w:r>
      <w:r>
        <w:t xml:space="preserve"> are actual or potential sources of drinking water.  This identification will provide an aid to the Agency in carrying out its duty to protect all USDWs.  An aquifer is a USDW if it fits the definition</w:t>
      </w:r>
      <w:r w:rsidR="00A53647">
        <w:t xml:space="preserve"> in 35 Ill. Adm. Code 702.110</w:t>
      </w:r>
      <w:r>
        <w:t>, even if it has not been identified</w:t>
      </w:r>
      <w:r w:rsidR="00F26454">
        <w:t xml:space="preserve"> by the Agency</w:t>
      </w:r>
      <w:r>
        <w:t xml:space="preserve">. </w:t>
      </w:r>
    </w:p>
    <w:p w:rsidR="00A800B8" w:rsidRDefault="00A800B8" w:rsidP="00653E8D">
      <w:pPr>
        <w:widowControl w:val="0"/>
        <w:autoSpaceDE w:val="0"/>
        <w:autoSpaceDN w:val="0"/>
        <w:adjustRightInd w:val="0"/>
      </w:pPr>
    </w:p>
    <w:p w:rsidR="00653E8D" w:rsidRDefault="00653E8D" w:rsidP="00653E8D">
      <w:pPr>
        <w:widowControl w:val="0"/>
        <w:autoSpaceDE w:val="0"/>
        <w:autoSpaceDN w:val="0"/>
        <w:adjustRightInd w:val="0"/>
      </w:pPr>
      <w:r>
        <w:t>BOARD NOTE:  See 35 Ill. Adm. Code 702.106.  Derived from 40 CFR 144.1(g)</w:t>
      </w:r>
      <w:r w:rsidR="00AA331F">
        <w:t xml:space="preserve"> </w:t>
      </w:r>
      <w:r w:rsidR="00A53647">
        <w:t>(201</w:t>
      </w:r>
      <w:r w:rsidR="00B629F8">
        <w:t>1</w:t>
      </w:r>
      <w:r w:rsidR="00A53647">
        <w:t>)</w:t>
      </w:r>
      <w:r>
        <w:t xml:space="preserve">. </w:t>
      </w:r>
    </w:p>
    <w:p w:rsidR="00653E8D" w:rsidRDefault="00653E8D" w:rsidP="00653E8D">
      <w:pPr>
        <w:widowControl w:val="0"/>
        <w:autoSpaceDE w:val="0"/>
        <w:autoSpaceDN w:val="0"/>
        <w:adjustRightInd w:val="0"/>
      </w:pPr>
    </w:p>
    <w:p w:rsidR="00A53647" w:rsidRPr="00D55B37" w:rsidRDefault="00A5364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1E6F66">
        <w:t>1613</w:t>
      </w:r>
      <w:r w:rsidRPr="00D55B37">
        <w:t xml:space="preserve">, effective </w:t>
      </w:r>
      <w:r w:rsidR="006F6A00">
        <w:t>January 20, 2012</w:t>
      </w:r>
      <w:r w:rsidRPr="00D55B37">
        <w:t>)</w:t>
      </w:r>
    </w:p>
    <w:sectPr w:rsidR="00A53647" w:rsidRPr="00D55B37" w:rsidSect="00653E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3E8D"/>
    <w:rsid w:val="001E6F66"/>
    <w:rsid w:val="002731A1"/>
    <w:rsid w:val="005C3366"/>
    <w:rsid w:val="00653E8D"/>
    <w:rsid w:val="006F6A00"/>
    <w:rsid w:val="00771E77"/>
    <w:rsid w:val="00771EAA"/>
    <w:rsid w:val="00881D68"/>
    <w:rsid w:val="009E2971"/>
    <w:rsid w:val="009F7ADD"/>
    <w:rsid w:val="00A53647"/>
    <w:rsid w:val="00A800B8"/>
    <w:rsid w:val="00AA331F"/>
    <w:rsid w:val="00B629F8"/>
    <w:rsid w:val="00C1544C"/>
    <w:rsid w:val="00F2043B"/>
    <w:rsid w:val="00F2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6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26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</vt:lpstr>
    </vt:vector>
  </TitlesOfParts>
  <Company>State of Illinois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