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DC" w:rsidRDefault="00C171DC" w:rsidP="00C171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1DC" w:rsidRDefault="00C171DC" w:rsidP="00C17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703.300  Special</w:t>
      </w:r>
      <w:r w:rsidR="007A6B06">
        <w:rPr>
          <w:b/>
          <w:bCs/>
        </w:rPr>
        <w:t xml:space="preserve"> Regulatory</w:t>
      </w:r>
      <w:r>
        <w:rPr>
          <w:b/>
          <w:bCs/>
        </w:rPr>
        <w:t xml:space="preserve"> Format</w:t>
      </w:r>
      <w:r>
        <w:t xml:space="preserve"> </w:t>
      </w:r>
    </w:p>
    <w:p w:rsidR="00C171DC" w:rsidRDefault="00C171DC" w:rsidP="00C171DC">
      <w:pPr>
        <w:widowControl w:val="0"/>
        <w:autoSpaceDE w:val="0"/>
        <w:autoSpaceDN w:val="0"/>
        <w:adjustRightInd w:val="0"/>
      </w:pPr>
    </w:p>
    <w:p w:rsidR="00C171DC" w:rsidRDefault="00C171DC" w:rsidP="00C171DC">
      <w:pPr>
        <w:widowControl w:val="0"/>
        <w:autoSpaceDE w:val="0"/>
        <w:autoSpaceDN w:val="0"/>
        <w:adjustRightInd w:val="0"/>
      </w:pPr>
      <w:r>
        <w:t>USEPA wrote the federal counterpart to this Subpart</w:t>
      </w:r>
      <w:r w:rsidR="007A6B06">
        <w:t xml:space="preserve"> H</w:t>
      </w:r>
      <w:r>
        <w:t xml:space="preserve">, </w:t>
      </w:r>
      <w:r w:rsidR="002A108F">
        <w:t xml:space="preserve">subpart H of </w:t>
      </w:r>
      <w:r>
        <w:t>40 CFR 270, in a special format to make it easier to understand the regulatory requirements. The Board has adapted</w:t>
      </w:r>
      <w:r w:rsidR="007A6B06">
        <w:t xml:space="preserve"> the substance of the corresponding federal regulations in</w:t>
      </w:r>
      <w:r>
        <w:t xml:space="preserve"> this Subpart H to use </w:t>
      </w:r>
      <w:r w:rsidR="007A6B06">
        <w:t>a more conventional regulatory</w:t>
      </w:r>
      <w:r>
        <w:t xml:space="preserve"> format</w:t>
      </w:r>
      <w:r w:rsidR="007A6B06">
        <w:t>, rather than the question-and-answer format used by USEPA</w:t>
      </w:r>
      <w:r>
        <w:t xml:space="preserve">.  </w:t>
      </w:r>
    </w:p>
    <w:p w:rsidR="00DF70EE" w:rsidRDefault="00DF70EE" w:rsidP="00C171DC">
      <w:pPr>
        <w:widowControl w:val="0"/>
        <w:autoSpaceDE w:val="0"/>
        <w:autoSpaceDN w:val="0"/>
        <w:adjustRightInd w:val="0"/>
      </w:pPr>
    </w:p>
    <w:p w:rsidR="00C171DC" w:rsidRDefault="00C171DC" w:rsidP="00C171DC">
      <w:pPr>
        <w:widowControl w:val="0"/>
        <w:autoSpaceDE w:val="0"/>
        <w:autoSpaceDN w:val="0"/>
        <w:adjustRightInd w:val="0"/>
      </w:pPr>
      <w:r>
        <w:t>BOARD NOTE:  Derived from 40 CFR 270.79</w:t>
      </w:r>
      <w:r w:rsidR="00857610">
        <w:t xml:space="preserve"> </w:t>
      </w:r>
      <w:r w:rsidR="002A108F">
        <w:t>(2005)</w:t>
      </w:r>
      <w:r>
        <w:t xml:space="preserve">. </w:t>
      </w:r>
    </w:p>
    <w:p w:rsidR="007A6B06" w:rsidRDefault="007A6B06">
      <w:pPr>
        <w:pStyle w:val="JCARSourceNote"/>
        <w:ind w:firstLine="720"/>
      </w:pPr>
    </w:p>
    <w:p w:rsidR="002A108F" w:rsidRPr="00D55B37" w:rsidRDefault="002A108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16EE6">
        <w:t>2845</w:t>
      </w:r>
      <w:r w:rsidRPr="00D55B37">
        <w:t xml:space="preserve">, effective </w:t>
      </w:r>
      <w:r w:rsidR="0044215F">
        <w:t>February 23, 2006</w:t>
      </w:r>
      <w:r w:rsidRPr="00D55B37">
        <w:t>)</w:t>
      </w:r>
    </w:p>
    <w:sectPr w:rsidR="002A108F" w:rsidRPr="00D55B37" w:rsidSect="00C171D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1DC"/>
    <w:rsid w:val="000A5F16"/>
    <w:rsid w:val="001B58B0"/>
    <w:rsid w:val="002A108F"/>
    <w:rsid w:val="00316EE6"/>
    <w:rsid w:val="0044215F"/>
    <w:rsid w:val="00733FD3"/>
    <w:rsid w:val="007A6B06"/>
    <w:rsid w:val="007D3A2E"/>
    <w:rsid w:val="00857610"/>
    <w:rsid w:val="00B47561"/>
    <w:rsid w:val="00C171DC"/>
    <w:rsid w:val="00D928D6"/>
    <w:rsid w:val="00DC6048"/>
    <w:rsid w:val="00DF70EE"/>
    <w:rsid w:val="00EF1BF0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6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A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