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3A" w:rsidRDefault="0047168A" w:rsidP="00AE7E3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E7E3A">
        <w:rPr>
          <w:b/>
          <w:bCs/>
        </w:rPr>
        <w:t xml:space="preserve">Section 671.APPENDIX B  </w:t>
      </w:r>
      <w:r>
        <w:rPr>
          <w:b/>
          <w:bCs/>
        </w:rPr>
        <w:t xml:space="preserve"> </w:t>
      </w:r>
      <w:proofErr w:type="spellStart"/>
      <w:r w:rsidR="00AE7E3A">
        <w:rPr>
          <w:b/>
          <w:bCs/>
        </w:rPr>
        <w:t>Theis</w:t>
      </w:r>
      <w:proofErr w:type="spellEnd"/>
      <w:r w:rsidR="00AE7E3A">
        <w:rPr>
          <w:b/>
          <w:bCs/>
        </w:rPr>
        <w:t xml:space="preserve"> Equation Using Available Data</w:t>
      </w:r>
      <w:r w:rsidR="00AE7E3A">
        <w:t xml:space="preserve"> </w:t>
      </w:r>
    </w:p>
    <w:p w:rsidR="00AE7E3A" w:rsidRDefault="00AE7E3A" w:rsidP="00AE7E3A">
      <w:pPr>
        <w:widowControl w:val="0"/>
        <w:autoSpaceDE w:val="0"/>
        <w:autoSpaceDN w:val="0"/>
        <w:adjustRightInd w:val="0"/>
      </w:pPr>
    </w:p>
    <w:p w:rsidR="00AE7E3A" w:rsidRDefault="00AE7E3A" w:rsidP="00AE7E3A">
      <w:pPr>
        <w:widowControl w:val="0"/>
        <w:autoSpaceDE w:val="0"/>
        <w:autoSpaceDN w:val="0"/>
        <w:adjustRightInd w:val="0"/>
      </w:pPr>
      <w:r>
        <w:t xml:space="preserve">If pump test data is available for an unconfined/confined unconsolidated or non-fractured bedrock aquifer the lateral radius of influence can be calculated as follows: </w:t>
      </w:r>
    </w:p>
    <w:p w:rsidR="003C25D8" w:rsidRDefault="003C25D8" w:rsidP="00AE7E3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524"/>
        <w:gridCol w:w="352"/>
        <w:gridCol w:w="1782"/>
        <w:gridCol w:w="990"/>
      </w:tblGrid>
      <w:tr w:rsidR="003C25D8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vAlign w:val="center"/>
          </w:tcPr>
          <w:p w:rsidR="003C25D8" w:rsidRDefault="003C25D8" w:rsidP="003C25D8">
            <w:pPr>
              <w:widowControl w:val="0"/>
              <w:autoSpaceDE w:val="0"/>
              <w:autoSpaceDN w:val="0"/>
              <w:adjustRightInd w:val="0"/>
              <w:ind w:left="93" w:right="-610"/>
            </w:pPr>
            <w:r>
              <w:t>r</w:t>
            </w:r>
          </w:p>
        </w:tc>
        <w:tc>
          <w:tcPr>
            <w:tcW w:w="352" w:type="dxa"/>
            <w:vMerge w:val="restart"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16" w:right="-90"/>
              <w:jc w:val="center"/>
            </w:pPr>
            <w:r>
              <w:t>=</w:t>
            </w:r>
          </w:p>
        </w:tc>
        <w:tc>
          <w:tcPr>
            <w:tcW w:w="1782" w:type="dxa"/>
            <w:vMerge w:val="restart"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  <w:r>
              <w:t>the square root of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uTt</w:t>
            </w:r>
            <w:proofErr w:type="spellEnd"/>
          </w:p>
        </w:tc>
      </w:tr>
      <w:tr w:rsidR="003C25D8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" w:type="dxa"/>
            <w:vMerge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82" w:type="dxa"/>
            <w:vMerge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2693S</w:t>
            </w:r>
          </w:p>
        </w:tc>
      </w:tr>
    </w:tbl>
    <w:p w:rsidR="003C25D8" w:rsidRDefault="003C25D8" w:rsidP="00AE7E3A">
      <w:pPr>
        <w:widowControl w:val="0"/>
        <w:autoSpaceDE w:val="0"/>
        <w:autoSpaceDN w:val="0"/>
        <w:adjustRightInd w:val="0"/>
      </w:pPr>
    </w:p>
    <w:p w:rsidR="003C25D8" w:rsidRDefault="003C25D8" w:rsidP="00AE7E3A">
      <w:pPr>
        <w:widowControl w:val="0"/>
        <w:autoSpaceDE w:val="0"/>
        <w:autoSpaceDN w:val="0"/>
        <w:adjustRightInd w:val="0"/>
      </w:pPr>
      <w:r>
        <w:tab/>
        <w:t>Where:</w:t>
      </w:r>
    </w:p>
    <w:p w:rsidR="003C25D8" w:rsidRDefault="003C25D8" w:rsidP="00AE7E3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498"/>
        <w:gridCol w:w="357"/>
        <w:gridCol w:w="7644"/>
      </w:tblGrid>
      <w:tr w:rsidR="003C25D8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r</w:t>
            </w:r>
          </w:p>
        </w:tc>
        <w:tc>
          <w:tcPr>
            <w:tcW w:w="357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644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  <w:r>
              <w:t>radius of influence (feet)</w:t>
            </w:r>
          </w:p>
        </w:tc>
      </w:tr>
      <w:tr w:rsidR="003C25D8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t</w:t>
            </w:r>
          </w:p>
        </w:tc>
        <w:tc>
          <w:tcPr>
            <w:tcW w:w="357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644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  <w:r>
              <w:t>time well is pumped under normal operational conditions (minutes)</w:t>
            </w:r>
          </w:p>
        </w:tc>
      </w:tr>
      <w:tr w:rsidR="003C25D8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S</w:t>
            </w:r>
          </w:p>
        </w:tc>
        <w:tc>
          <w:tcPr>
            <w:tcW w:w="357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644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  <w:r>
              <w:t xml:space="preserve">aquifer </w:t>
            </w:r>
            <w:proofErr w:type="spellStart"/>
            <w:r>
              <w:t>storativity</w:t>
            </w:r>
            <w:proofErr w:type="spellEnd"/>
            <w:r>
              <w:t xml:space="preserve"> or specific yield (dimensionless)</w:t>
            </w:r>
          </w:p>
        </w:tc>
      </w:tr>
      <w:tr w:rsidR="003C25D8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T</w:t>
            </w:r>
          </w:p>
        </w:tc>
        <w:tc>
          <w:tcPr>
            <w:tcW w:w="357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644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transmissivity</w:t>
            </w:r>
            <w:proofErr w:type="spellEnd"/>
            <w:r>
              <w:t xml:space="preserve"> (gallons per day per foot)</w:t>
            </w:r>
          </w:p>
        </w:tc>
      </w:tr>
      <w:tr w:rsidR="003C25D8">
        <w:tblPrEx>
          <w:tblCellMar>
            <w:top w:w="0" w:type="dxa"/>
            <w:bottom w:w="0" w:type="dxa"/>
          </w:tblCellMar>
        </w:tblPrEx>
        <w:tc>
          <w:tcPr>
            <w:tcW w:w="498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u</w:t>
            </w:r>
          </w:p>
        </w:tc>
        <w:tc>
          <w:tcPr>
            <w:tcW w:w="357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644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</w:pPr>
            <w:r>
              <w:t>= is a dimensionless parameter related to the well function</w:t>
            </w:r>
          </w:p>
        </w:tc>
      </w:tr>
    </w:tbl>
    <w:p w:rsidR="003C25D8" w:rsidRDefault="003C25D8" w:rsidP="00AE7E3A">
      <w:pPr>
        <w:widowControl w:val="0"/>
        <w:autoSpaceDE w:val="0"/>
        <w:autoSpaceDN w:val="0"/>
        <w:adjustRightInd w:val="0"/>
      </w:pPr>
    </w:p>
    <w:p w:rsidR="003C25D8" w:rsidRDefault="003C25D8" w:rsidP="00AE7E3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741"/>
        <w:gridCol w:w="236"/>
        <w:gridCol w:w="961"/>
      </w:tblGrid>
      <w:tr w:rsidR="003C25D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741" w:type="dxa"/>
            <w:vMerge w:val="restart"/>
            <w:vAlign w:val="center"/>
          </w:tcPr>
          <w:p w:rsidR="003C25D8" w:rsidRPr="003C25D8" w:rsidRDefault="003C25D8" w:rsidP="00FD21BC">
            <w:pPr>
              <w:widowControl w:val="0"/>
              <w:autoSpaceDE w:val="0"/>
              <w:autoSpaceDN w:val="0"/>
              <w:adjustRightInd w:val="0"/>
              <w:ind w:left="93" w:right="-610"/>
            </w:pPr>
            <w:r>
              <w:t>W</w:t>
            </w:r>
            <w:r w:rsidRPr="003C25D8">
              <w:t>(u)</w:t>
            </w:r>
          </w:p>
        </w:tc>
        <w:tc>
          <w:tcPr>
            <w:tcW w:w="236" w:type="dxa"/>
            <w:vMerge w:val="restart"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16" w:right="-90"/>
              <w:jc w:val="center"/>
            </w:pPr>
            <w:r>
              <w:t>=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  <w:r>
              <w:t>T(h</w:t>
            </w:r>
            <w:r w:rsidRPr="00C27ED2">
              <w:rPr>
                <w:vertAlign w:val="subscript"/>
              </w:rPr>
              <w:t>o</w:t>
            </w:r>
            <w:r>
              <w:t xml:space="preserve"> - h)</w:t>
            </w:r>
          </w:p>
        </w:tc>
      </w:tr>
      <w:tr w:rsidR="003C25D8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741" w:type="dxa"/>
            <w:vMerge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93" w:right="-610"/>
            </w:pPr>
          </w:p>
        </w:tc>
        <w:tc>
          <w:tcPr>
            <w:tcW w:w="236" w:type="dxa"/>
            <w:vMerge/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16" w:right="-9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6" w:right="-66"/>
              <w:jc w:val="center"/>
            </w:pPr>
            <w:r>
              <w:t>114.6Q</w:t>
            </w:r>
          </w:p>
        </w:tc>
      </w:tr>
    </w:tbl>
    <w:p w:rsidR="00AE7E3A" w:rsidRDefault="00AE7E3A" w:rsidP="00AE7E3A">
      <w:pPr>
        <w:widowControl w:val="0"/>
        <w:autoSpaceDE w:val="0"/>
        <w:autoSpaceDN w:val="0"/>
        <w:adjustRightInd w:val="0"/>
        <w:ind w:left="1440" w:hanging="720"/>
      </w:pPr>
    </w:p>
    <w:p w:rsidR="00AE7E3A" w:rsidRDefault="00AE7E3A" w:rsidP="003C25D8">
      <w:pPr>
        <w:widowControl w:val="0"/>
        <w:autoSpaceDE w:val="0"/>
        <w:autoSpaceDN w:val="0"/>
        <w:adjustRightInd w:val="0"/>
        <w:ind w:firstLine="720"/>
      </w:pPr>
      <w:r>
        <w:t>Where</w:t>
      </w:r>
      <w:r w:rsidR="003C25D8">
        <w:t>:</w:t>
      </w:r>
      <w:r>
        <w:t xml:space="preserve"> </w:t>
      </w:r>
    </w:p>
    <w:p w:rsidR="003C25D8" w:rsidRDefault="003C25D8" w:rsidP="003C25D8">
      <w:pPr>
        <w:widowControl w:val="0"/>
        <w:autoSpaceDE w:val="0"/>
        <w:autoSpaceDN w:val="0"/>
        <w:adjustRightInd w:val="0"/>
        <w:ind w:firstLine="720"/>
      </w:pPr>
    </w:p>
    <w:tbl>
      <w:tblPr>
        <w:tblW w:w="0" w:type="auto"/>
        <w:tblInd w:w="1077" w:type="dxa"/>
        <w:tblLook w:val="0000" w:firstRow="0" w:lastRow="0" w:firstColumn="0" w:lastColumn="0" w:noHBand="0" w:noVBand="0"/>
      </w:tblPr>
      <w:tblGrid>
        <w:gridCol w:w="912"/>
        <w:gridCol w:w="399"/>
        <w:gridCol w:w="7188"/>
      </w:tblGrid>
      <w:tr w:rsidR="00843244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W(u)</w:t>
            </w:r>
          </w:p>
        </w:tc>
        <w:tc>
          <w:tcPr>
            <w:tcW w:w="399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188" w:type="dxa"/>
          </w:tcPr>
          <w:p w:rsidR="003C25D8" w:rsidRDefault="00843244" w:rsidP="00FD21BC">
            <w:pPr>
              <w:widowControl w:val="0"/>
              <w:autoSpaceDE w:val="0"/>
              <w:autoSpaceDN w:val="0"/>
              <w:adjustRightInd w:val="0"/>
            </w:pPr>
            <w:r>
              <w:t>well function, the well function is calculate</w:t>
            </w:r>
            <w:r w:rsidR="009F365F">
              <w:t xml:space="preserve">d and u is obtained from </w:t>
            </w:r>
            <w:r>
              <w:t>Table A.</w:t>
            </w:r>
          </w:p>
        </w:tc>
      </w:tr>
      <w:tr w:rsidR="00843244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3C25D8" w:rsidRDefault="00843244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h</w:t>
            </w:r>
            <w:r w:rsidRPr="00C27ED2">
              <w:rPr>
                <w:vertAlign w:val="subscript"/>
              </w:rPr>
              <w:t>o</w:t>
            </w:r>
            <w:r>
              <w:t xml:space="preserve"> - h</w:t>
            </w:r>
          </w:p>
        </w:tc>
        <w:tc>
          <w:tcPr>
            <w:tcW w:w="399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188" w:type="dxa"/>
          </w:tcPr>
          <w:p w:rsidR="003C25D8" w:rsidRDefault="00843244" w:rsidP="00FD21BC">
            <w:pPr>
              <w:widowControl w:val="0"/>
              <w:autoSpaceDE w:val="0"/>
              <w:autoSpaceDN w:val="0"/>
              <w:adjustRightInd w:val="0"/>
            </w:pPr>
            <w:r>
              <w:t>drawdown in the piezometer or observation well (feet)</w:t>
            </w:r>
          </w:p>
        </w:tc>
      </w:tr>
      <w:tr w:rsidR="00843244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3C25D8" w:rsidRDefault="00843244" w:rsidP="00FD21BC">
            <w:pPr>
              <w:widowControl w:val="0"/>
              <w:autoSpaceDE w:val="0"/>
              <w:autoSpaceDN w:val="0"/>
              <w:adjustRightInd w:val="0"/>
              <w:ind w:left="120" w:right="-1647"/>
            </w:pPr>
            <w:r>
              <w:t>Q</w:t>
            </w:r>
          </w:p>
        </w:tc>
        <w:tc>
          <w:tcPr>
            <w:tcW w:w="399" w:type="dxa"/>
          </w:tcPr>
          <w:p w:rsidR="003C25D8" w:rsidRDefault="003C25D8" w:rsidP="00FD21BC">
            <w:pPr>
              <w:widowControl w:val="0"/>
              <w:autoSpaceDE w:val="0"/>
              <w:autoSpaceDN w:val="0"/>
              <w:adjustRightInd w:val="0"/>
              <w:ind w:left="-121" w:right="-76"/>
              <w:jc w:val="center"/>
            </w:pPr>
            <w:r>
              <w:t>=</w:t>
            </w:r>
          </w:p>
        </w:tc>
        <w:tc>
          <w:tcPr>
            <w:tcW w:w="7188" w:type="dxa"/>
          </w:tcPr>
          <w:p w:rsidR="003C25D8" w:rsidRDefault="00843244" w:rsidP="00FD21BC">
            <w:pPr>
              <w:widowControl w:val="0"/>
              <w:autoSpaceDE w:val="0"/>
              <w:autoSpaceDN w:val="0"/>
              <w:adjustRightInd w:val="0"/>
            </w:pPr>
            <w:r>
              <w:t>production well discharge rate under normal</w:t>
            </w:r>
            <w:r w:rsidR="009F365F">
              <w:t xml:space="preserve"> operational conditions </w:t>
            </w:r>
            <w:r>
              <w:t>(gallons per minute)</w:t>
            </w:r>
          </w:p>
        </w:tc>
      </w:tr>
    </w:tbl>
    <w:p w:rsidR="00AE7E3A" w:rsidRDefault="00AE7E3A" w:rsidP="00705779">
      <w:pPr>
        <w:widowControl w:val="0"/>
        <w:autoSpaceDE w:val="0"/>
        <w:autoSpaceDN w:val="0"/>
        <w:adjustRightInd w:val="0"/>
        <w:ind w:firstLine="720"/>
      </w:pPr>
      <w:r>
        <w:t xml:space="preserve"> </w:t>
      </w:r>
    </w:p>
    <w:sectPr w:rsidR="00AE7E3A" w:rsidSect="00AE7E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E3A"/>
    <w:rsid w:val="00286DDF"/>
    <w:rsid w:val="003C25D8"/>
    <w:rsid w:val="0047168A"/>
    <w:rsid w:val="004D2521"/>
    <w:rsid w:val="005C3366"/>
    <w:rsid w:val="00705779"/>
    <w:rsid w:val="00843244"/>
    <w:rsid w:val="009F365F"/>
    <w:rsid w:val="00AE7E3A"/>
    <w:rsid w:val="00C27ED2"/>
    <w:rsid w:val="00DE4E37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