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3F" w:rsidRDefault="00BE20DD" w:rsidP="002D3A3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D3A3F">
        <w:rPr>
          <w:b/>
          <w:bCs/>
        </w:rPr>
        <w:lastRenderedPageBreak/>
        <w:t xml:space="preserve">Section 671.APPENDIX A </w:t>
      </w:r>
      <w:r>
        <w:rPr>
          <w:b/>
          <w:bCs/>
        </w:rPr>
        <w:t xml:space="preserve">  </w:t>
      </w:r>
      <w:r w:rsidR="002D3A3F">
        <w:rPr>
          <w:b/>
          <w:bCs/>
        </w:rPr>
        <w:t>Volumetric Flow Equation</w:t>
      </w:r>
      <w:r w:rsidR="002D3A3F">
        <w:t xml:space="preserve"> </w:t>
      </w:r>
    </w:p>
    <w:p w:rsidR="002D3A3F" w:rsidRDefault="002D3A3F" w:rsidP="002D3A3F">
      <w:pPr>
        <w:widowControl w:val="0"/>
        <w:autoSpaceDE w:val="0"/>
        <w:autoSpaceDN w:val="0"/>
        <w:adjustRightInd w:val="0"/>
      </w:pPr>
    </w:p>
    <w:p w:rsidR="002D3A3F" w:rsidRDefault="002D3A3F" w:rsidP="002D3A3F">
      <w:pPr>
        <w:widowControl w:val="0"/>
        <w:autoSpaceDE w:val="0"/>
        <w:autoSpaceDN w:val="0"/>
        <w:adjustRightInd w:val="0"/>
      </w:pPr>
      <w:r>
        <w:t xml:space="preserve">For unconfined unconsolidated, or unconfined non-fractured bedrock aquifers the lateral radius of influence can be calculated as follows: </w:t>
      </w:r>
    </w:p>
    <w:p w:rsidR="00BE20DD" w:rsidRDefault="00BE20DD" w:rsidP="002D3A3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05" w:type="dxa"/>
        <w:tblLook w:val="0000" w:firstRow="0" w:lastRow="0" w:firstColumn="0" w:lastColumn="0" w:noHBand="0" w:noVBand="0"/>
      </w:tblPr>
      <w:tblGrid>
        <w:gridCol w:w="296"/>
        <w:gridCol w:w="352"/>
        <w:gridCol w:w="1782"/>
        <w:gridCol w:w="990"/>
      </w:tblGrid>
      <w:tr w:rsidR="00BE20DD">
        <w:tblPrEx>
          <w:tblCellMar>
            <w:top w:w="0" w:type="dxa"/>
            <w:bottom w:w="0" w:type="dxa"/>
          </w:tblCellMar>
        </w:tblPrEx>
        <w:tc>
          <w:tcPr>
            <w:tcW w:w="296" w:type="dxa"/>
            <w:vMerge w:val="restart"/>
            <w:vAlign w:val="center"/>
          </w:tcPr>
          <w:p w:rsidR="00BE20DD" w:rsidRDefault="000621E9" w:rsidP="002D3A3F">
            <w:pPr>
              <w:widowControl w:val="0"/>
              <w:autoSpaceDE w:val="0"/>
              <w:autoSpaceDN w:val="0"/>
              <w:adjustRightInd w:val="0"/>
            </w:pPr>
            <w:r>
              <w:t>r</w:t>
            </w:r>
          </w:p>
        </w:tc>
        <w:tc>
          <w:tcPr>
            <w:tcW w:w="352" w:type="dxa"/>
            <w:vMerge w:val="restart"/>
            <w:vAlign w:val="center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-116" w:right="-90"/>
              <w:jc w:val="center"/>
            </w:pPr>
            <w:r>
              <w:t>=</w:t>
            </w:r>
          </w:p>
        </w:tc>
        <w:tc>
          <w:tcPr>
            <w:tcW w:w="1782" w:type="dxa"/>
            <w:vMerge w:val="restart"/>
            <w:vAlign w:val="center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-126" w:right="-66"/>
              <w:jc w:val="center"/>
            </w:pPr>
            <w:r>
              <w:t>the square root of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Qt</w:t>
            </w:r>
          </w:p>
        </w:tc>
      </w:tr>
      <w:tr w:rsidR="00BE20DD">
        <w:tblPrEx>
          <w:tblCellMar>
            <w:top w:w="0" w:type="dxa"/>
            <w:bottom w:w="0" w:type="dxa"/>
          </w:tblCellMar>
        </w:tblPrEx>
        <w:tc>
          <w:tcPr>
            <w:tcW w:w="296" w:type="dxa"/>
            <w:vMerge/>
            <w:vAlign w:val="center"/>
          </w:tcPr>
          <w:p w:rsidR="00BE20DD" w:rsidRDefault="00BE20DD" w:rsidP="002D3A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" w:type="dxa"/>
            <w:vMerge/>
            <w:vAlign w:val="center"/>
          </w:tcPr>
          <w:p w:rsidR="00BE20DD" w:rsidRDefault="00BE20DD" w:rsidP="002D3A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2" w:type="dxa"/>
            <w:vMerge/>
            <w:vAlign w:val="center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-126" w:right="-66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4524nH</w:t>
            </w:r>
          </w:p>
        </w:tc>
      </w:tr>
    </w:tbl>
    <w:p w:rsidR="00BE20DD" w:rsidRDefault="00BE20DD" w:rsidP="002D3A3F">
      <w:pPr>
        <w:widowControl w:val="0"/>
        <w:autoSpaceDE w:val="0"/>
        <w:autoSpaceDN w:val="0"/>
        <w:adjustRightInd w:val="0"/>
      </w:pPr>
    </w:p>
    <w:p w:rsidR="002D3A3F" w:rsidRDefault="002D3A3F" w:rsidP="002D3A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Where </w:t>
      </w:r>
    </w:p>
    <w:p w:rsidR="00BE20DD" w:rsidRDefault="00BE20DD" w:rsidP="002D3A3F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305" w:type="dxa"/>
        <w:tblLook w:val="0000" w:firstRow="0" w:lastRow="0" w:firstColumn="0" w:lastColumn="0" w:noHBand="0" w:noVBand="0"/>
      </w:tblPr>
      <w:tblGrid>
        <w:gridCol w:w="456"/>
        <w:gridCol w:w="399"/>
        <w:gridCol w:w="7416"/>
      </w:tblGrid>
      <w:tr w:rsidR="00BE20DD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r</w:t>
            </w:r>
          </w:p>
        </w:tc>
        <w:tc>
          <w:tcPr>
            <w:tcW w:w="399" w:type="dxa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416" w:type="dxa"/>
          </w:tcPr>
          <w:p w:rsidR="00BE20DD" w:rsidRDefault="00BE20DD" w:rsidP="002D3A3F">
            <w:pPr>
              <w:widowControl w:val="0"/>
              <w:autoSpaceDE w:val="0"/>
              <w:autoSpaceDN w:val="0"/>
              <w:adjustRightInd w:val="0"/>
            </w:pPr>
            <w:r>
              <w:t>radius of influence (feet)</w:t>
            </w:r>
          </w:p>
        </w:tc>
      </w:tr>
      <w:tr w:rsidR="00BE20DD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Q</w:t>
            </w:r>
          </w:p>
        </w:tc>
        <w:tc>
          <w:tcPr>
            <w:tcW w:w="399" w:type="dxa"/>
          </w:tcPr>
          <w:p w:rsidR="00BE20DD" w:rsidRDefault="00BE20DD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416" w:type="dxa"/>
          </w:tcPr>
          <w:p w:rsidR="00BE20DD" w:rsidRDefault="00BE20DD" w:rsidP="002D3A3F">
            <w:pPr>
              <w:widowControl w:val="0"/>
              <w:autoSpaceDE w:val="0"/>
              <w:autoSpaceDN w:val="0"/>
              <w:adjustRightInd w:val="0"/>
            </w:pPr>
            <w:r>
              <w:t>daily flow from the well under normal operational conditions (cubic feet per day)</w:t>
            </w:r>
          </w:p>
        </w:tc>
      </w:tr>
      <w:tr w:rsidR="00BE20DD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t</w:t>
            </w:r>
          </w:p>
        </w:tc>
        <w:tc>
          <w:tcPr>
            <w:tcW w:w="399" w:type="dxa"/>
          </w:tcPr>
          <w:p w:rsidR="00BE20DD" w:rsidRDefault="00BE20DD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416" w:type="dxa"/>
          </w:tcPr>
          <w:p w:rsidR="00BE20DD" w:rsidRDefault="00BE20DD" w:rsidP="002D3A3F">
            <w:pPr>
              <w:widowControl w:val="0"/>
              <w:autoSpaceDE w:val="0"/>
              <w:autoSpaceDN w:val="0"/>
              <w:adjustRightInd w:val="0"/>
            </w:pPr>
            <w:r>
              <w:t xml:space="preserve">time that the well is pumped under normal operational conditions (minutes) </w:t>
            </w:r>
          </w:p>
        </w:tc>
      </w:tr>
      <w:tr w:rsidR="00BE20DD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H</w:t>
            </w:r>
          </w:p>
        </w:tc>
        <w:tc>
          <w:tcPr>
            <w:tcW w:w="399" w:type="dxa"/>
          </w:tcPr>
          <w:p w:rsidR="00BE20DD" w:rsidRDefault="00BE20DD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416" w:type="dxa"/>
          </w:tcPr>
          <w:p w:rsidR="00BE20DD" w:rsidRDefault="00BE20DD" w:rsidP="002D3A3F">
            <w:pPr>
              <w:widowControl w:val="0"/>
              <w:autoSpaceDE w:val="0"/>
              <w:autoSpaceDN w:val="0"/>
              <w:adjustRightInd w:val="0"/>
            </w:pPr>
            <w:r>
              <w:t>open interval or length of well screen (feet)</w:t>
            </w:r>
          </w:p>
        </w:tc>
      </w:tr>
      <w:tr w:rsidR="00BE20DD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E20DD" w:rsidRDefault="00BE20DD" w:rsidP="00BE20DD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n</w:t>
            </w:r>
          </w:p>
        </w:tc>
        <w:tc>
          <w:tcPr>
            <w:tcW w:w="399" w:type="dxa"/>
          </w:tcPr>
          <w:p w:rsidR="00BE20DD" w:rsidRDefault="00BE20DD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416" w:type="dxa"/>
          </w:tcPr>
          <w:p w:rsidR="00BE20DD" w:rsidRDefault="00BE20DD" w:rsidP="002D3A3F">
            <w:pPr>
              <w:widowControl w:val="0"/>
              <w:autoSpaceDE w:val="0"/>
              <w:autoSpaceDN w:val="0"/>
              <w:adjustRightInd w:val="0"/>
            </w:pPr>
            <w:r>
              <w:t>aquifer porosity (see Figure A-1) unless more site specific information is available</w:t>
            </w:r>
          </w:p>
        </w:tc>
      </w:tr>
    </w:tbl>
    <w:p w:rsidR="00BE20DD" w:rsidRDefault="00BE20DD" w:rsidP="002D3A3F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81" w:type="dxa"/>
        <w:tblLook w:val="0000" w:firstRow="0" w:lastRow="0" w:firstColumn="0" w:lastColumn="0" w:noHBand="0" w:noVBand="0"/>
      </w:tblPr>
      <w:tblGrid>
        <w:gridCol w:w="3339"/>
        <w:gridCol w:w="2430"/>
        <w:gridCol w:w="2493"/>
        <w:gridCol w:w="1233"/>
      </w:tblGrid>
      <w:tr w:rsidR="00680C6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495" w:type="dxa"/>
            <w:gridSpan w:val="4"/>
            <w:tcBorders>
              <w:top w:val="single" w:sz="4" w:space="0" w:color="auto"/>
            </w:tcBorders>
            <w:vAlign w:val="bottom"/>
          </w:tcPr>
          <w:p w:rsidR="00680C69" w:rsidRDefault="00680C69" w:rsidP="00680C6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680C69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3339" w:type="dxa"/>
          </w:tcPr>
          <w:p w:rsidR="00680C69" w:rsidRDefault="00680C69" w:rsidP="00680C69">
            <w:pPr>
              <w:widowControl w:val="0"/>
              <w:autoSpaceDE w:val="0"/>
              <w:autoSpaceDN w:val="0"/>
              <w:adjustRightInd w:val="0"/>
              <w:ind w:firstLine="1602"/>
            </w:pPr>
            <w:r>
              <w:t>Sand</w:t>
            </w:r>
          </w:p>
        </w:tc>
        <w:tc>
          <w:tcPr>
            <w:tcW w:w="2430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  <w:tc>
          <w:tcPr>
            <w:tcW w:w="249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Sandstone</w:t>
            </w:r>
          </w:p>
        </w:tc>
        <w:tc>
          <w:tcPr>
            <w:tcW w:w="123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680C69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:rsidR="00680C69" w:rsidRDefault="00680C69" w:rsidP="00680C69">
            <w:pPr>
              <w:widowControl w:val="0"/>
              <w:autoSpaceDE w:val="0"/>
              <w:autoSpaceDN w:val="0"/>
              <w:adjustRightInd w:val="0"/>
              <w:ind w:firstLine="1584"/>
            </w:pPr>
            <w:r>
              <w:t>Gravel</w:t>
            </w:r>
          </w:p>
        </w:tc>
        <w:tc>
          <w:tcPr>
            <w:tcW w:w="2430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  <w:tc>
          <w:tcPr>
            <w:tcW w:w="249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Limestones:</w:t>
            </w:r>
          </w:p>
        </w:tc>
        <w:tc>
          <w:tcPr>
            <w:tcW w:w="123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0C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339" w:type="dxa"/>
          </w:tcPr>
          <w:p w:rsidR="00680C69" w:rsidRDefault="00680C69" w:rsidP="00680C69">
            <w:pPr>
              <w:widowControl w:val="0"/>
              <w:autoSpaceDE w:val="0"/>
              <w:autoSpaceDN w:val="0"/>
              <w:adjustRightInd w:val="0"/>
              <w:ind w:firstLine="1602"/>
              <w:jc w:val="both"/>
            </w:pPr>
            <w:r>
              <w:t>Sand &amp; Gravel</w:t>
            </w:r>
          </w:p>
        </w:tc>
        <w:tc>
          <w:tcPr>
            <w:tcW w:w="2430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249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Primary dolomites</w:t>
            </w:r>
          </w:p>
        </w:tc>
        <w:tc>
          <w:tcPr>
            <w:tcW w:w="123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680C6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39" w:type="dxa"/>
          </w:tcPr>
          <w:p w:rsidR="00680C69" w:rsidRDefault="00680C69" w:rsidP="00680C69">
            <w:pPr>
              <w:widowControl w:val="0"/>
              <w:autoSpaceDE w:val="0"/>
              <w:autoSpaceDN w:val="0"/>
              <w:adjustRightInd w:val="0"/>
              <w:ind w:firstLine="1602"/>
              <w:jc w:val="both"/>
            </w:pPr>
          </w:p>
        </w:tc>
        <w:tc>
          <w:tcPr>
            <w:tcW w:w="2430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Secondary dolomites</w:t>
            </w:r>
          </w:p>
        </w:tc>
        <w:tc>
          <w:tcPr>
            <w:tcW w:w="1233" w:type="dxa"/>
          </w:tcPr>
          <w:p w:rsidR="00680C69" w:rsidRDefault="00680C69" w:rsidP="002D3A3F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680C6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495" w:type="dxa"/>
            <w:gridSpan w:val="4"/>
            <w:tcBorders>
              <w:bottom w:val="single" w:sz="4" w:space="0" w:color="auto"/>
            </w:tcBorders>
            <w:vAlign w:val="center"/>
          </w:tcPr>
          <w:p w:rsidR="00680C69" w:rsidRDefault="00680C69" w:rsidP="00680C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Figure A-1</w:t>
            </w:r>
          </w:p>
        </w:tc>
      </w:tr>
    </w:tbl>
    <w:p w:rsidR="00BE20DD" w:rsidRDefault="00BE20DD" w:rsidP="002D3A3F">
      <w:pPr>
        <w:widowControl w:val="0"/>
        <w:autoSpaceDE w:val="0"/>
        <w:autoSpaceDN w:val="0"/>
        <w:adjustRightInd w:val="0"/>
        <w:ind w:left="1440" w:hanging="720"/>
      </w:pPr>
    </w:p>
    <w:sectPr w:rsidR="00BE20DD" w:rsidSect="002D3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A3F"/>
    <w:rsid w:val="000621E9"/>
    <w:rsid w:val="002D3A3F"/>
    <w:rsid w:val="00443D77"/>
    <w:rsid w:val="004E1BF0"/>
    <w:rsid w:val="005C3366"/>
    <w:rsid w:val="00680C69"/>
    <w:rsid w:val="00B367A0"/>
    <w:rsid w:val="00B95A8A"/>
    <w:rsid w:val="00BE20DD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80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80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2003-05-09T15:26:00Z</cp:lastPrinted>
  <dcterms:created xsi:type="dcterms:W3CDTF">2012-06-21T21:22:00Z</dcterms:created>
  <dcterms:modified xsi:type="dcterms:W3CDTF">2012-06-21T21:22:00Z</dcterms:modified>
</cp:coreProperties>
</file>