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06" w:rsidRDefault="00B57C06" w:rsidP="00762F11">
      <w:pPr>
        <w:rPr>
          <w:b/>
        </w:rPr>
      </w:pPr>
      <w:bookmarkStart w:id="0" w:name="_GoBack"/>
      <w:bookmarkEnd w:id="0"/>
    </w:p>
    <w:p w:rsidR="00762F11" w:rsidRPr="00762F11" w:rsidRDefault="00762F11" w:rsidP="00762F11">
      <w:pPr>
        <w:rPr>
          <w:b/>
        </w:rPr>
      </w:pPr>
      <w:r w:rsidRPr="00762F11">
        <w:rPr>
          <w:b/>
        </w:rPr>
        <w:t>Section 664.440  Fixed Loan Rate</w:t>
      </w:r>
    </w:p>
    <w:p w:rsidR="00762F11" w:rsidRPr="00762F11" w:rsidRDefault="00762F11" w:rsidP="00762F11"/>
    <w:p w:rsidR="00762F11" w:rsidRPr="00762F11" w:rsidRDefault="00762F11" w:rsidP="00762F11">
      <w:r w:rsidRPr="00762F11">
        <w:t xml:space="preserve">The fixed loan rate shall be a simple annual rate of 0.00% for all public water supply facilities loans under </w:t>
      </w:r>
      <w:r w:rsidR="00F94778">
        <w:t xml:space="preserve">the </w:t>
      </w:r>
      <w:r w:rsidRPr="00762F11">
        <w:t xml:space="preserve">ARRA, administered through </w:t>
      </w:r>
      <w:r w:rsidR="00F94778">
        <w:t xml:space="preserve">the </w:t>
      </w:r>
      <w:r w:rsidRPr="00762F11">
        <w:t>PWSLP.</w:t>
      </w:r>
    </w:p>
    <w:sectPr w:rsidR="00762F11" w:rsidRPr="00762F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AD" w:rsidRDefault="00CA19AD">
      <w:r>
        <w:separator/>
      </w:r>
    </w:p>
  </w:endnote>
  <w:endnote w:type="continuationSeparator" w:id="0">
    <w:p w:rsidR="00CA19AD" w:rsidRDefault="00CA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AD" w:rsidRDefault="00CA19AD">
      <w:r>
        <w:separator/>
      </w:r>
    </w:p>
  </w:footnote>
  <w:footnote w:type="continuationSeparator" w:id="0">
    <w:p w:rsidR="00CA19AD" w:rsidRDefault="00CA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F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8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6C45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2F11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F44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BE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E94"/>
    <w:rsid w:val="009053C8"/>
    <w:rsid w:val="00910413"/>
    <w:rsid w:val="00915C6D"/>
    <w:rsid w:val="009168BC"/>
    <w:rsid w:val="009203F8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C0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9A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27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2E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778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