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CD" w:rsidRDefault="005A12CD" w:rsidP="005A12CD">
      <w:pPr>
        <w:widowControl w:val="0"/>
        <w:autoSpaceDE w:val="0"/>
        <w:autoSpaceDN w:val="0"/>
        <w:adjustRightInd w:val="0"/>
      </w:pPr>
      <w:bookmarkStart w:id="0" w:name="_GoBack"/>
      <w:bookmarkEnd w:id="0"/>
    </w:p>
    <w:p w:rsidR="005A12CD" w:rsidRDefault="005A12CD" w:rsidP="005A12CD">
      <w:pPr>
        <w:widowControl w:val="0"/>
        <w:autoSpaceDE w:val="0"/>
        <w:autoSpaceDN w:val="0"/>
        <w:adjustRightInd w:val="0"/>
      </w:pPr>
      <w:r>
        <w:rPr>
          <w:b/>
          <w:bCs/>
        </w:rPr>
        <w:t>Section 663.270  Scoring Conventions</w:t>
      </w:r>
      <w:r>
        <w:t xml:space="preserve"> </w:t>
      </w:r>
    </w:p>
    <w:p w:rsidR="005A12CD" w:rsidRDefault="005A12CD" w:rsidP="005A12CD">
      <w:pPr>
        <w:widowControl w:val="0"/>
        <w:autoSpaceDE w:val="0"/>
        <w:autoSpaceDN w:val="0"/>
        <w:adjustRightInd w:val="0"/>
      </w:pPr>
    </w:p>
    <w:p w:rsidR="005A12CD" w:rsidRDefault="005A12CD" w:rsidP="005A12CD">
      <w:pPr>
        <w:widowControl w:val="0"/>
        <w:autoSpaceDE w:val="0"/>
        <w:autoSpaceDN w:val="0"/>
        <w:adjustRightInd w:val="0"/>
        <w:ind w:left="1440" w:hanging="720"/>
      </w:pPr>
      <w:r>
        <w:t>a)</w:t>
      </w:r>
      <w:r>
        <w:tab/>
        <w:t xml:space="preserve">For purposes of assigning the A2 factor, projects that are being proposed to meet regulations that have been published in the Federal Register but have a future effective date will be considered the same as projects to correct violations of regulations that are already in effect. </w:t>
      </w:r>
    </w:p>
    <w:p w:rsidR="006737A7" w:rsidRDefault="006737A7" w:rsidP="005A12CD">
      <w:pPr>
        <w:widowControl w:val="0"/>
        <w:autoSpaceDE w:val="0"/>
        <w:autoSpaceDN w:val="0"/>
        <w:adjustRightInd w:val="0"/>
        <w:ind w:left="1440" w:hanging="720"/>
      </w:pPr>
    </w:p>
    <w:p w:rsidR="005A12CD" w:rsidRDefault="005A12CD" w:rsidP="005A12CD">
      <w:pPr>
        <w:widowControl w:val="0"/>
        <w:autoSpaceDE w:val="0"/>
        <w:autoSpaceDN w:val="0"/>
        <w:adjustRightInd w:val="0"/>
        <w:ind w:left="1440" w:hanging="720"/>
      </w:pPr>
      <w:r>
        <w:t>b)</w:t>
      </w:r>
      <w:r>
        <w:tab/>
        <w:t xml:space="preserve">Projects that are being proposed to prevent future acute or chronic violations predicted by compliance monitoring are eligible for A2 factor points as follows: </w:t>
      </w:r>
    </w:p>
    <w:p w:rsidR="006737A7" w:rsidRDefault="006737A7" w:rsidP="005A12CD">
      <w:pPr>
        <w:widowControl w:val="0"/>
        <w:autoSpaceDE w:val="0"/>
        <w:autoSpaceDN w:val="0"/>
        <w:adjustRightInd w:val="0"/>
        <w:ind w:left="2160" w:hanging="720"/>
      </w:pPr>
    </w:p>
    <w:p w:rsidR="005A12CD" w:rsidRDefault="005A12CD" w:rsidP="005A12CD">
      <w:pPr>
        <w:widowControl w:val="0"/>
        <w:autoSpaceDE w:val="0"/>
        <w:autoSpaceDN w:val="0"/>
        <w:adjustRightInd w:val="0"/>
        <w:ind w:left="2160" w:hanging="720"/>
      </w:pPr>
      <w:r>
        <w:t>1)</w:t>
      </w:r>
      <w:r>
        <w:tab/>
        <w:t xml:space="preserve">The applicant's compliance monitoring records must show concentrations of the contaminant to be controlled of at least 75% of the acute or chronic violation limit (existing contaminant concentration divided by acute/chronic limit x 100 = % violation limit); </w:t>
      </w:r>
    </w:p>
    <w:p w:rsidR="006737A7" w:rsidRDefault="006737A7" w:rsidP="005A12CD">
      <w:pPr>
        <w:widowControl w:val="0"/>
        <w:autoSpaceDE w:val="0"/>
        <w:autoSpaceDN w:val="0"/>
        <w:adjustRightInd w:val="0"/>
        <w:ind w:left="2160" w:hanging="720"/>
      </w:pPr>
    </w:p>
    <w:p w:rsidR="005A12CD" w:rsidRDefault="005A12CD" w:rsidP="005A12CD">
      <w:pPr>
        <w:widowControl w:val="0"/>
        <w:autoSpaceDE w:val="0"/>
        <w:autoSpaceDN w:val="0"/>
        <w:adjustRightInd w:val="0"/>
        <w:ind w:left="2160" w:hanging="720"/>
      </w:pPr>
      <w:r>
        <w:t>2)</w:t>
      </w:r>
      <w:r>
        <w:tab/>
        <w:t xml:space="preserve">The A2 points for the project will be calculated by multiplying the percentage violation limit by the appropriate acute or chronic A2 points in Section 663.230(b). </w:t>
      </w:r>
    </w:p>
    <w:p w:rsidR="006737A7" w:rsidRDefault="006737A7" w:rsidP="005A12CD">
      <w:pPr>
        <w:widowControl w:val="0"/>
        <w:autoSpaceDE w:val="0"/>
        <w:autoSpaceDN w:val="0"/>
        <w:adjustRightInd w:val="0"/>
        <w:ind w:left="1440" w:hanging="720"/>
      </w:pPr>
    </w:p>
    <w:p w:rsidR="005A12CD" w:rsidRDefault="005A12CD" w:rsidP="005A12CD">
      <w:pPr>
        <w:widowControl w:val="0"/>
        <w:autoSpaceDE w:val="0"/>
        <w:autoSpaceDN w:val="0"/>
        <w:adjustRightInd w:val="0"/>
        <w:ind w:left="1440" w:hanging="720"/>
      </w:pPr>
      <w:r>
        <w:t>c)</w:t>
      </w:r>
      <w:r>
        <w:tab/>
        <w:t xml:space="preserve">For integrally related projects which require construction by more than one applicant, each project will proceed at the Loan Priority Index of the component project with the most favorable priority ranking. </w:t>
      </w:r>
    </w:p>
    <w:p w:rsidR="006737A7" w:rsidRDefault="006737A7" w:rsidP="005A12CD">
      <w:pPr>
        <w:widowControl w:val="0"/>
        <w:autoSpaceDE w:val="0"/>
        <w:autoSpaceDN w:val="0"/>
        <w:adjustRightInd w:val="0"/>
        <w:ind w:left="1440" w:hanging="720"/>
      </w:pPr>
    </w:p>
    <w:p w:rsidR="005A12CD" w:rsidRDefault="005A12CD" w:rsidP="005A12CD">
      <w:pPr>
        <w:widowControl w:val="0"/>
        <w:autoSpaceDE w:val="0"/>
        <w:autoSpaceDN w:val="0"/>
        <w:adjustRightInd w:val="0"/>
        <w:ind w:left="1440" w:hanging="720"/>
      </w:pPr>
      <w:r>
        <w:t>d)</w:t>
      </w:r>
      <w:r>
        <w:tab/>
        <w:t xml:space="preserve">Where adequate data is not available to calculate an A1 or A2 factor, a value of 1.0 will be assigned. </w:t>
      </w:r>
    </w:p>
    <w:p w:rsidR="005A12CD" w:rsidRDefault="005A12CD" w:rsidP="005A12CD">
      <w:pPr>
        <w:widowControl w:val="0"/>
        <w:autoSpaceDE w:val="0"/>
        <w:autoSpaceDN w:val="0"/>
        <w:adjustRightInd w:val="0"/>
        <w:ind w:left="1440" w:hanging="720"/>
      </w:pPr>
    </w:p>
    <w:p w:rsidR="005A12CD" w:rsidRDefault="005A12CD" w:rsidP="005A12CD">
      <w:pPr>
        <w:widowControl w:val="0"/>
        <w:autoSpaceDE w:val="0"/>
        <w:autoSpaceDN w:val="0"/>
        <w:adjustRightInd w:val="0"/>
        <w:ind w:left="1440" w:hanging="720"/>
      </w:pPr>
      <w:r>
        <w:t xml:space="preserve">(Source:  Amended at 24 Ill. Reg. 16236, effective November 1, 2000) </w:t>
      </w:r>
    </w:p>
    <w:sectPr w:rsidR="005A12CD" w:rsidSect="005A12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2CD"/>
    <w:rsid w:val="00017340"/>
    <w:rsid w:val="005A12CD"/>
    <w:rsid w:val="005C3366"/>
    <w:rsid w:val="0060758C"/>
    <w:rsid w:val="006737A7"/>
    <w:rsid w:val="00D1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663</vt:lpstr>
    </vt:vector>
  </TitlesOfParts>
  <Company>General Assembly</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