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34F1" w14:textId="68BA546E" w:rsidR="00840500" w:rsidRDefault="00504F2B" w:rsidP="00840500">
      <w:pPr>
        <w:widowControl w:val="0"/>
        <w:autoSpaceDE w:val="0"/>
        <w:autoSpaceDN w:val="0"/>
        <w:adjustRightInd w:val="0"/>
      </w:pPr>
      <w:r>
        <w:br w:type="page"/>
      </w:r>
      <w:r w:rsidR="00840500">
        <w:rPr>
          <w:b/>
          <w:bCs/>
        </w:rPr>
        <w:lastRenderedPageBreak/>
        <w:t xml:space="preserve">Section </w:t>
      </w:r>
      <w:proofErr w:type="spellStart"/>
      <w:r w:rsidR="00840500">
        <w:rPr>
          <w:b/>
          <w:bCs/>
        </w:rPr>
        <w:t>620.APPENDIX</w:t>
      </w:r>
      <w:proofErr w:type="spellEnd"/>
      <w:r w:rsidR="00840500">
        <w:rPr>
          <w:b/>
          <w:bCs/>
        </w:rPr>
        <w:t xml:space="preserve"> A </w:t>
      </w:r>
      <w:r>
        <w:rPr>
          <w:b/>
          <w:bCs/>
        </w:rPr>
        <w:t xml:space="preserve"> </w:t>
      </w:r>
      <w:r w:rsidR="00840500">
        <w:rPr>
          <w:b/>
          <w:bCs/>
        </w:rPr>
        <w:t xml:space="preserve"> Procedures for Determining Human Toxicant Advisory </w:t>
      </w:r>
      <w:r w:rsidR="008A5639" w:rsidRPr="00541797">
        <w:rPr>
          <w:b/>
          <w:bCs/>
        </w:rPr>
        <w:t>Concentrations</w:t>
      </w:r>
      <w:r w:rsidR="00840500">
        <w:rPr>
          <w:b/>
          <w:bCs/>
        </w:rPr>
        <w:t xml:space="preserve"> for Class I: Potable Resource Groundwater</w:t>
      </w:r>
      <w:r w:rsidR="00840500">
        <w:t xml:space="preserve"> </w:t>
      </w:r>
    </w:p>
    <w:p w14:paraId="3705EB5A" w14:textId="77777777" w:rsidR="00840500" w:rsidRDefault="00840500" w:rsidP="00840500">
      <w:pPr>
        <w:widowControl w:val="0"/>
        <w:autoSpaceDE w:val="0"/>
        <w:autoSpaceDN w:val="0"/>
        <w:adjustRightInd w:val="0"/>
      </w:pPr>
    </w:p>
    <w:p w14:paraId="7922A173" w14:textId="4F46003D" w:rsidR="00840500" w:rsidRPr="00E230D1" w:rsidRDefault="00840500" w:rsidP="004554A6">
      <w:pPr>
        <w:widowControl w:val="0"/>
        <w:autoSpaceDE w:val="0"/>
        <w:autoSpaceDN w:val="0"/>
        <w:adjustRightInd w:val="0"/>
        <w:ind w:left="1440" w:hanging="720"/>
      </w:pPr>
      <w:r>
        <w:t>a)</w:t>
      </w:r>
      <w:r>
        <w:tab/>
        <w:t xml:space="preserve">Calculating the Human Toxicant Advisory Concentration </w:t>
      </w:r>
      <w:r w:rsidR="008A5639" w:rsidRPr="00E230D1">
        <w:t>for Noncancer Effects</w:t>
      </w:r>
    </w:p>
    <w:p w14:paraId="4098BD1A" w14:textId="4B83FCCD" w:rsidR="00840500" w:rsidRDefault="00724527" w:rsidP="004554A6">
      <w:pPr>
        <w:widowControl w:val="0"/>
        <w:autoSpaceDE w:val="0"/>
        <w:autoSpaceDN w:val="0"/>
        <w:adjustRightInd w:val="0"/>
        <w:ind w:left="1440"/>
      </w:pPr>
      <w:r>
        <w:t>If</w:t>
      </w:r>
      <w:r w:rsidR="00840500">
        <w:t xml:space="preserve"> USEPA has not adopted a Maximum Contaminant Level Goal (</w:t>
      </w:r>
      <w:proofErr w:type="spellStart"/>
      <w:r w:rsidR="00840500">
        <w:t>MCLG</w:t>
      </w:r>
      <w:proofErr w:type="spellEnd"/>
      <w:r w:rsidR="00840500">
        <w:t>)</w:t>
      </w:r>
      <w:r>
        <w:t xml:space="preserve"> for a substance</w:t>
      </w:r>
      <w:r w:rsidR="00840500">
        <w:t xml:space="preserve">, the Human Threshold Toxicant Advisory Concentration </w:t>
      </w:r>
      <w:r>
        <w:t xml:space="preserve">for the substance </w:t>
      </w:r>
      <w:r w:rsidR="00840500">
        <w:t xml:space="preserve">is calculated as follows: </w:t>
      </w:r>
    </w:p>
    <w:p w14:paraId="3E9B5FE5" w14:textId="5A40B3F4" w:rsidR="00840500" w:rsidRDefault="00840500" w:rsidP="008A2E20">
      <w:pPr>
        <w:widowControl w:val="0"/>
        <w:autoSpaceDE w:val="0"/>
        <w:autoSpaceDN w:val="0"/>
        <w:adjustRightInd w:val="0"/>
      </w:pPr>
    </w:p>
    <w:p w14:paraId="53A91985" w14:textId="332294D3" w:rsidR="008A5639" w:rsidRPr="00124C51" w:rsidRDefault="00124C51" w:rsidP="00124C51">
      <w:pPr>
        <w:widowControl w:val="0"/>
        <w:autoSpaceDE w:val="0"/>
        <w:autoSpaceDN w:val="0"/>
        <w:adjustRightInd w:val="0"/>
        <w:ind w:left="3600" w:right="810"/>
        <w:rPr>
          <w:i/>
        </w:rPr>
      </w:pPr>
      <m:oMathPara>
        <m:oMathParaPr>
          <m:jc m:val="left"/>
        </m:oMathParaPr>
        <m:oMath>
          <m:r>
            <w:rPr>
              <w:rFonts w:ascii="Cambria Math"/>
            </w:rPr>
            <m:t>HTTAC=</m:t>
          </m:r>
          <m:f>
            <m:fPr>
              <m:ctrlPr>
                <w:rPr>
                  <w:rFonts w:ascii="Cambria Math" w:hAnsi="Cambria Math"/>
                  <w:i/>
                </w:rPr>
              </m:ctrlPr>
            </m:fPr>
            <m:num>
              <m:r>
                <w:rPr>
                  <w:rFonts w:ascii="Cambria Math"/>
                </w:rPr>
                <m:t>RSC</m:t>
              </m:r>
              <m:r>
                <w:rPr>
                  <w:rFonts w:ascii="Cambria Math" w:hAnsi="Cambria Math" w:cs="Calibri"/>
                </w:rPr>
                <m:t>•</m:t>
              </m:r>
              <m:r>
                <w:rPr>
                  <w:rFonts w:ascii="Cambria Math"/>
                </w:rPr>
                <m:t>ADE</m:t>
              </m:r>
            </m:num>
            <m:den>
              <m:r>
                <w:rPr>
                  <w:rFonts w:ascii="Cambria Math"/>
                </w:rPr>
                <m:t>W</m:t>
              </m:r>
            </m:den>
          </m:f>
        </m:oMath>
      </m:oMathPara>
    </w:p>
    <w:p w14:paraId="0B370ED5" w14:textId="77777777" w:rsidR="008A5639" w:rsidRDefault="008A5639" w:rsidP="008A2E20">
      <w:pPr>
        <w:widowControl w:val="0"/>
        <w:autoSpaceDE w:val="0"/>
        <w:autoSpaceDN w:val="0"/>
        <w:adjustRightInd w:val="0"/>
      </w:pPr>
    </w:p>
    <w:p w14:paraId="67773650" w14:textId="77777777" w:rsidR="006058DC" w:rsidRDefault="006058DC" w:rsidP="006058DC">
      <w:pPr>
        <w:widowControl w:val="0"/>
        <w:autoSpaceDE w:val="0"/>
        <w:autoSpaceDN w:val="0"/>
        <w:adjustRightInd w:val="0"/>
        <w:ind w:left="1989" w:hanging="567"/>
      </w:pPr>
      <w:r>
        <w:t>Where:</w:t>
      </w:r>
    </w:p>
    <w:p w14:paraId="636B97F7" w14:textId="77777777" w:rsidR="006058DC" w:rsidRDefault="006058DC"/>
    <w:tbl>
      <w:tblPr>
        <w:tblW w:w="0" w:type="auto"/>
        <w:tblInd w:w="1755" w:type="dxa"/>
        <w:tblLook w:val="0000" w:firstRow="0" w:lastRow="0" w:firstColumn="0" w:lastColumn="0" w:noHBand="0" w:noVBand="0"/>
      </w:tblPr>
      <w:tblGrid>
        <w:gridCol w:w="1016"/>
        <w:gridCol w:w="352"/>
        <w:gridCol w:w="5586"/>
      </w:tblGrid>
      <w:tr w:rsidR="004554A6" w14:paraId="5D8168FA" w14:textId="77777777" w:rsidTr="003C2D25">
        <w:trPr>
          <w:trHeight w:val="675"/>
        </w:trPr>
        <w:tc>
          <w:tcPr>
            <w:tcW w:w="945" w:type="dxa"/>
          </w:tcPr>
          <w:p w14:paraId="31B1D711" w14:textId="77777777" w:rsidR="004554A6" w:rsidRDefault="004554A6" w:rsidP="00840500">
            <w:pPr>
              <w:widowControl w:val="0"/>
              <w:autoSpaceDE w:val="0"/>
              <w:autoSpaceDN w:val="0"/>
              <w:adjustRightInd w:val="0"/>
            </w:pPr>
            <w:proofErr w:type="spellStart"/>
            <w:r>
              <w:t>HTTAC</w:t>
            </w:r>
            <w:proofErr w:type="spellEnd"/>
            <w:r>
              <w:t xml:space="preserve"> </w:t>
            </w:r>
          </w:p>
        </w:tc>
        <w:tc>
          <w:tcPr>
            <w:tcW w:w="352" w:type="dxa"/>
          </w:tcPr>
          <w:p w14:paraId="0E947614" w14:textId="77777777" w:rsidR="004554A6" w:rsidRDefault="004554A6" w:rsidP="004C752A">
            <w:pPr>
              <w:widowControl w:val="0"/>
              <w:autoSpaceDE w:val="0"/>
              <w:autoSpaceDN w:val="0"/>
              <w:adjustRightInd w:val="0"/>
            </w:pPr>
            <w:r>
              <w:t>=</w:t>
            </w:r>
          </w:p>
        </w:tc>
        <w:tc>
          <w:tcPr>
            <w:tcW w:w="5586" w:type="dxa"/>
          </w:tcPr>
          <w:p w14:paraId="70829B01" w14:textId="6BE592F4" w:rsidR="004554A6" w:rsidRDefault="004554A6" w:rsidP="00840500">
            <w:pPr>
              <w:widowControl w:val="0"/>
              <w:autoSpaceDE w:val="0"/>
              <w:autoSpaceDN w:val="0"/>
              <w:adjustRightInd w:val="0"/>
            </w:pPr>
            <w:r>
              <w:t>Human Threshold Toxicant Advisory Concentration in milligrams per liter (mg/L);</w:t>
            </w:r>
          </w:p>
        </w:tc>
      </w:tr>
      <w:tr w:rsidR="004554A6" w14:paraId="49B19B4A" w14:textId="77777777" w:rsidTr="003C2D25">
        <w:trPr>
          <w:trHeight w:val="1791"/>
        </w:trPr>
        <w:tc>
          <w:tcPr>
            <w:tcW w:w="945" w:type="dxa"/>
          </w:tcPr>
          <w:p w14:paraId="48A52326" w14:textId="77777777" w:rsidR="004554A6" w:rsidRDefault="004554A6" w:rsidP="00840500">
            <w:pPr>
              <w:widowControl w:val="0"/>
              <w:autoSpaceDE w:val="0"/>
              <w:autoSpaceDN w:val="0"/>
              <w:adjustRightInd w:val="0"/>
            </w:pPr>
            <w:r>
              <w:t xml:space="preserve">RSC </w:t>
            </w:r>
          </w:p>
        </w:tc>
        <w:tc>
          <w:tcPr>
            <w:tcW w:w="352" w:type="dxa"/>
          </w:tcPr>
          <w:p w14:paraId="02424AF7" w14:textId="77777777" w:rsidR="004554A6" w:rsidRDefault="004554A6" w:rsidP="004C752A">
            <w:pPr>
              <w:widowControl w:val="0"/>
              <w:autoSpaceDE w:val="0"/>
              <w:autoSpaceDN w:val="0"/>
              <w:adjustRightInd w:val="0"/>
            </w:pPr>
            <w:r>
              <w:t>=</w:t>
            </w:r>
          </w:p>
        </w:tc>
        <w:tc>
          <w:tcPr>
            <w:tcW w:w="5586" w:type="dxa"/>
          </w:tcPr>
          <w:p w14:paraId="44429742" w14:textId="30965CA0" w:rsidR="004554A6" w:rsidRDefault="004554A6" w:rsidP="00840500">
            <w:pPr>
              <w:widowControl w:val="0"/>
              <w:autoSpaceDE w:val="0"/>
              <w:autoSpaceDN w:val="0"/>
              <w:adjustRightInd w:val="0"/>
            </w:pPr>
            <w:r>
              <w:t xml:space="preserve">Relative contribution of the amount of the exposure to a chemical via drinking water when compared to the total exposure to that chemical from all sources.  Valid chemical-specific data </w:t>
            </w:r>
            <w:r w:rsidR="00724527">
              <w:t>must</w:t>
            </w:r>
            <w:r>
              <w:t xml:space="preserve"> be used if available.  If valid chemical-specific data are not available, a value of 20% (= 0.20) must be used;</w:t>
            </w:r>
          </w:p>
        </w:tc>
      </w:tr>
      <w:tr w:rsidR="004554A6" w14:paraId="28AE19C1" w14:textId="77777777" w:rsidTr="003C2D25">
        <w:trPr>
          <w:trHeight w:val="963"/>
        </w:trPr>
        <w:tc>
          <w:tcPr>
            <w:tcW w:w="945" w:type="dxa"/>
          </w:tcPr>
          <w:p w14:paraId="3D9F4E55" w14:textId="77777777" w:rsidR="004554A6" w:rsidRDefault="004554A6" w:rsidP="00840500">
            <w:pPr>
              <w:widowControl w:val="0"/>
              <w:autoSpaceDE w:val="0"/>
              <w:autoSpaceDN w:val="0"/>
              <w:adjustRightInd w:val="0"/>
            </w:pPr>
            <w:r>
              <w:t xml:space="preserve">ADE  </w:t>
            </w:r>
          </w:p>
        </w:tc>
        <w:tc>
          <w:tcPr>
            <w:tcW w:w="352" w:type="dxa"/>
          </w:tcPr>
          <w:p w14:paraId="238CF4AA" w14:textId="77777777" w:rsidR="004554A6" w:rsidRDefault="004554A6" w:rsidP="004C752A">
            <w:pPr>
              <w:widowControl w:val="0"/>
              <w:autoSpaceDE w:val="0"/>
              <w:autoSpaceDN w:val="0"/>
              <w:adjustRightInd w:val="0"/>
            </w:pPr>
            <w:r>
              <w:t>=</w:t>
            </w:r>
          </w:p>
        </w:tc>
        <w:tc>
          <w:tcPr>
            <w:tcW w:w="5586" w:type="dxa"/>
          </w:tcPr>
          <w:p w14:paraId="7192D2CE" w14:textId="136C2E5C" w:rsidR="004554A6" w:rsidRDefault="004554A6" w:rsidP="00840500">
            <w:pPr>
              <w:widowControl w:val="0"/>
              <w:autoSpaceDE w:val="0"/>
              <w:autoSpaceDN w:val="0"/>
              <w:adjustRightInd w:val="0"/>
            </w:pPr>
            <w:r>
              <w:t xml:space="preserve">Acceptable Daily Exposure of substance in milligrams per day (mg/d) as determined </w:t>
            </w:r>
            <w:r w:rsidR="00724527">
              <w:t>under</w:t>
            </w:r>
            <w:r>
              <w:t xml:space="preserve"> subsection (b); and</w:t>
            </w:r>
          </w:p>
        </w:tc>
      </w:tr>
      <w:tr w:rsidR="004554A6" w14:paraId="3A6786CA" w14:textId="77777777" w:rsidTr="003C2D25">
        <w:tc>
          <w:tcPr>
            <w:tcW w:w="945" w:type="dxa"/>
          </w:tcPr>
          <w:p w14:paraId="3A1ED0C3" w14:textId="77777777" w:rsidR="004554A6" w:rsidRDefault="004554A6" w:rsidP="00840500">
            <w:pPr>
              <w:widowControl w:val="0"/>
              <w:autoSpaceDE w:val="0"/>
              <w:autoSpaceDN w:val="0"/>
              <w:adjustRightInd w:val="0"/>
            </w:pPr>
            <w:r>
              <w:t xml:space="preserve">W </w:t>
            </w:r>
          </w:p>
        </w:tc>
        <w:tc>
          <w:tcPr>
            <w:tcW w:w="352" w:type="dxa"/>
          </w:tcPr>
          <w:p w14:paraId="4B3BA5E7" w14:textId="77777777" w:rsidR="004554A6" w:rsidRDefault="004554A6" w:rsidP="004C752A">
            <w:pPr>
              <w:widowControl w:val="0"/>
              <w:autoSpaceDE w:val="0"/>
              <w:autoSpaceDN w:val="0"/>
              <w:adjustRightInd w:val="0"/>
            </w:pPr>
            <w:r>
              <w:t>=</w:t>
            </w:r>
          </w:p>
        </w:tc>
        <w:tc>
          <w:tcPr>
            <w:tcW w:w="5586" w:type="dxa"/>
          </w:tcPr>
          <w:p w14:paraId="4A585952" w14:textId="383B36CB" w:rsidR="004554A6" w:rsidRDefault="004554A6" w:rsidP="00840500">
            <w:pPr>
              <w:widowControl w:val="0"/>
              <w:autoSpaceDE w:val="0"/>
              <w:autoSpaceDN w:val="0"/>
              <w:adjustRightInd w:val="0"/>
            </w:pPr>
            <w:r>
              <w:t xml:space="preserve">Per capita daily water consumption </w:t>
            </w:r>
            <w:r w:rsidR="008A5639" w:rsidRPr="00AE008E">
              <w:t>for a child (0-6 years of age</w:t>
            </w:r>
            <w:r w:rsidR="00000AC6">
              <w:t>)</w:t>
            </w:r>
            <w:r w:rsidR="008A5639" w:rsidRPr="00AE008E">
              <w:t xml:space="preserve">, </w:t>
            </w:r>
            <w:r>
              <w:t xml:space="preserve">equal to </w:t>
            </w:r>
            <w:r w:rsidR="008A5639">
              <w:t xml:space="preserve">0.78 </w:t>
            </w:r>
            <w:r>
              <w:t>liters per day (L/d).</w:t>
            </w:r>
          </w:p>
        </w:tc>
      </w:tr>
    </w:tbl>
    <w:p w14:paraId="30AAD1B8" w14:textId="77777777" w:rsidR="00C13A0B" w:rsidRDefault="00C13A0B" w:rsidP="008A2E20">
      <w:pPr>
        <w:widowControl w:val="0"/>
        <w:autoSpaceDE w:val="0"/>
        <w:autoSpaceDN w:val="0"/>
        <w:adjustRightInd w:val="0"/>
      </w:pPr>
    </w:p>
    <w:p w14:paraId="243C4D9F" w14:textId="77777777" w:rsidR="00840500" w:rsidRDefault="00840500" w:rsidP="00840500">
      <w:pPr>
        <w:widowControl w:val="0"/>
        <w:autoSpaceDE w:val="0"/>
        <w:autoSpaceDN w:val="0"/>
        <w:adjustRightInd w:val="0"/>
        <w:ind w:left="1440" w:hanging="720"/>
      </w:pPr>
      <w:r>
        <w:t>b)</w:t>
      </w:r>
      <w:r>
        <w:tab/>
        <w:t xml:space="preserve">Procedures for Determining Acceptable Daily Exposures for Class I:  Potable Resource Groundwater </w:t>
      </w:r>
    </w:p>
    <w:p w14:paraId="387A9511" w14:textId="77777777" w:rsidR="009F5F3E" w:rsidRDefault="009F5F3E" w:rsidP="008A2E20">
      <w:pPr>
        <w:widowControl w:val="0"/>
        <w:autoSpaceDE w:val="0"/>
        <w:autoSpaceDN w:val="0"/>
        <w:adjustRightInd w:val="0"/>
      </w:pPr>
    </w:p>
    <w:p w14:paraId="51B591E1" w14:textId="128F25AA" w:rsidR="00840500" w:rsidRDefault="00840500" w:rsidP="00840500">
      <w:pPr>
        <w:widowControl w:val="0"/>
        <w:autoSpaceDE w:val="0"/>
        <w:autoSpaceDN w:val="0"/>
        <w:adjustRightInd w:val="0"/>
        <w:ind w:left="2160" w:hanging="720"/>
      </w:pPr>
      <w:r>
        <w:t>1)</w:t>
      </w:r>
      <w:r>
        <w:tab/>
        <w:t>The Acceptable Daily Exposure (ADE) represents the maximum amount of a threshold toxicant in milligrams per day (mg/d)</w:t>
      </w:r>
      <w:r w:rsidR="00000AC6">
        <w:t xml:space="preserve"> that</w:t>
      </w:r>
      <w:r w:rsidR="006058DC">
        <w:t>,</w:t>
      </w:r>
      <w:r>
        <w:t xml:space="preserve"> if ingested daily </w:t>
      </w:r>
      <w:r w:rsidR="008A5639" w:rsidRPr="00AE008E">
        <w:t>by a child from 0-6 years of age</w:t>
      </w:r>
      <w:r w:rsidR="00724527">
        <w:t>,</w:t>
      </w:r>
      <w:r>
        <w:t xml:space="preserve"> results in no adverse effects.  Subsections (b)(2) through (b)(6) list, in prescribed order, methods for determining the ADE in Class I:  Potable Resource Groundwater. </w:t>
      </w:r>
    </w:p>
    <w:p w14:paraId="3DAA4360" w14:textId="77777777" w:rsidR="009F5F3E" w:rsidRDefault="009F5F3E" w:rsidP="008A2E20">
      <w:pPr>
        <w:widowControl w:val="0"/>
        <w:autoSpaceDE w:val="0"/>
        <w:autoSpaceDN w:val="0"/>
        <w:adjustRightInd w:val="0"/>
      </w:pPr>
    </w:p>
    <w:p w14:paraId="47E77D29" w14:textId="362606C9" w:rsidR="00840500" w:rsidRDefault="00840500" w:rsidP="00840500">
      <w:pPr>
        <w:widowControl w:val="0"/>
        <w:autoSpaceDE w:val="0"/>
        <w:autoSpaceDN w:val="0"/>
        <w:adjustRightInd w:val="0"/>
        <w:ind w:left="2160" w:hanging="720"/>
      </w:pPr>
      <w:r>
        <w:t>2)</w:t>
      </w:r>
      <w:r>
        <w:tab/>
      </w:r>
      <w:r w:rsidR="00724527">
        <w:t>If the</w:t>
      </w:r>
      <w:r w:rsidR="008A5639" w:rsidRPr="00AE008E">
        <w:t xml:space="preserve"> noncancer toxicity value</w:t>
      </w:r>
      <w:r w:rsidR="00724527">
        <w:t xml:space="preserve"> of a substance has</w:t>
      </w:r>
      <w:r w:rsidR="008A5639" w:rsidRPr="00AE008E">
        <w:t xml:space="preserve"> been derived and presented in milligrams per kilogram per day (mg/kg/day), the ADE </w:t>
      </w:r>
      <w:r w:rsidR="00724527">
        <w:t xml:space="preserve">of the substance </w:t>
      </w:r>
      <w:r w:rsidR="008A5639" w:rsidRPr="00AE008E">
        <w:t xml:space="preserve">equals the product of multiplying the toxicity value by 15 kilograms (kg), which is the assumed average weight of a child 0 to 6 years of age.  </w:t>
      </w:r>
      <w:r>
        <w:t xml:space="preserve"> </w:t>
      </w:r>
    </w:p>
    <w:p w14:paraId="16B96C15" w14:textId="77777777" w:rsidR="009F5F3E" w:rsidRDefault="009F5F3E" w:rsidP="008A2E20">
      <w:pPr>
        <w:widowControl w:val="0"/>
        <w:autoSpaceDE w:val="0"/>
        <w:autoSpaceDN w:val="0"/>
        <w:adjustRightInd w:val="0"/>
      </w:pPr>
    </w:p>
    <w:p w14:paraId="6E36DAF1" w14:textId="2B4056B1" w:rsidR="008A5639" w:rsidRPr="00AE008E" w:rsidRDefault="00840500" w:rsidP="00840500">
      <w:pPr>
        <w:widowControl w:val="0"/>
        <w:autoSpaceDE w:val="0"/>
        <w:autoSpaceDN w:val="0"/>
        <w:adjustRightInd w:val="0"/>
        <w:ind w:left="2160" w:hanging="720"/>
      </w:pPr>
      <w:r>
        <w:t>3)</w:t>
      </w:r>
      <w:r>
        <w:tab/>
      </w:r>
      <w:r w:rsidR="00724527">
        <w:t xml:space="preserve">If the </w:t>
      </w:r>
      <w:r w:rsidR="008A5639" w:rsidRPr="00AE008E">
        <w:t xml:space="preserve">oral reference dose </w:t>
      </w:r>
      <w:r w:rsidR="00724527">
        <w:t xml:space="preserve">of a substance </w:t>
      </w:r>
      <w:r w:rsidR="008A5639" w:rsidRPr="00AE008E">
        <w:t xml:space="preserve">is not available, the ADE </w:t>
      </w:r>
      <w:r w:rsidR="00724527">
        <w:t xml:space="preserve">of the substance </w:t>
      </w:r>
      <w:r w:rsidR="008A5639" w:rsidRPr="00AE008E">
        <w:t xml:space="preserve">equals the value of the most sensitive Point of Departure (POD) as determined by Benchmark Dose Modeling or the </w:t>
      </w:r>
      <w:proofErr w:type="spellStart"/>
      <w:r w:rsidR="008A5639" w:rsidRPr="00AE008E">
        <w:t>NOAEL</w:t>
      </w:r>
      <w:proofErr w:type="spellEnd"/>
      <w:r w:rsidR="008A5639" w:rsidRPr="00AE008E">
        <w:t>/</w:t>
      </w:r>
      <w:proofErr w:type="spellStart"/>
      <w:r w:rsidR="008A5639" w:rsidRPr="00AE008E">
        <w:t>LOAEL</w:t>
      </w:r>
      <w:proofErr w:type="spellEnd"/>
      <w:r w:rsidR="008A5639" w:rsidRPr="00AE008E">
        <w:t xml:space="preserve"> </w:t>
      </w:r>
      <w:r w:rsidR="008A5639" w:rsidRPr="00AE008E">
        <w:lastRenderedPageBreak/>
        <w:t xml:space="preserve">approach consistent with current USEPA </w:t>
      </w:r>
      <w:proofErr w:type="spellStart"/>
      <w:r w:rsidR="008A5639" w:rsidRPr="00AE008E">
        <w:t>RfD</w:t>
      </w:r>
      <w:proofErr w:type="spellEnd"/>
      <w:r w:rsidR="008A5639" w:rsidRPr="00AE008E">
        <w:t xml:space="preserve"> guidance, followed by the derivation of a Human Equivalent Dose (</w:t>
      </w:r>
      <w:proofErr w:type="spellStart"/>
      <w:r w:rsidR="008A5639" w:rsidRPr="00AE008E">
        <w:t>HED</w:t>
      </w:r>
      <w:proofErr w:type="spellEnd"/>
      <w:r w:rsidR="008A5639" w:rsidRPr="00AE008E">
        <w:t>) using physiologically based pharmacokinetic (</w:t>
      </w:r>
      <w:proofErr w:type="spellStart"/>
      <w:r w:rsidR="008A5639" w:rsidRPr="00AE008E">
        <w:t>PBPK</w:t>
      </w:r>
      <w:proofErr w:type="spellEnd"/>
      <w:r w:rsidR="008A5639" w:rsidRPr="00AE008E">
        <w:t>) modeling or Dose Adjustment Factor (DAF), then divided by the total Uncertainty Factor (</w:t>
      </w:r>
      <w:proofErr w:type="spellStart"/>
      <w:r w:rsidR="008A5639" w:rsidRPr="00AE008E">
        <w:t>UF</w:t>
      </w:r>
      <w:proofErr w:type="spellEnd"/>
      <w:r w:rsidR="008A5639" w:rsidRPr="00AE008E">
        <w:t>) and modifying factor (MF), if applicable.  The value is then multiplied by 15 kg (the assumed average weight of a child 0-6 years of age).  The equation is</w:t>
      </w:r>
      <w:r w:rsidR="00724527">
        <w:t xml:space="preserve"> as follows</w:t>
      </w:r>
      <w:r w:rsidR="008A5639" w:rsidRPr="00AE008E">
        <w:t>:</w:t>
      </w:r>
    </w:p>
    <w:p w14:paraId="724A2857" w14:textId="77777777" w:rsidR="008A5639" w:rsidRDefault="008A5639" w:rsidP="008A2E20">
      <w:pPr>
        <w:widowControl w:val="0"/>
        <w:autoSpaceDE w:val="0"/>
        <w:autoSpaceDN w:val="0"/>
        <w:adjustRightInd w:val="0"/>
      </w:pPr>
    </w:p>
    <w:p w14:paraId="238AB19A" w14:textId="5A49B3FB" w:rsidR="008A5639" w:rsidRPr="000267CF" w:rsidRDefault="008A5639" w:rsidP="000267CF">
      <w:pPr>
        <w:widowControl w:val="0"/>
        <w:autoSpaceDE w:val="0"/>
        <w:autoSpaceDN w:val="0"/>
        <w:adjustRightInd w:val="0"/>
      </w:pPr>
      <m:oMathPara>
        <m:oMathParaPr>
          <m:jc m:val="center"/>
        </m:oMathParaPr>
        <m:oMath>
          <m:r>
            <w:rPr>
              <w:rFonts w:ascii="Cambria Math"/>
            </w:rPr>
            <m:t>ADE=</m:t>
          </m:r>
          <m:f>
            <m:fPr>
              <m:ctrlPr>
                <w:rPr>
                  <w:rFonts w:ascii="Cambria Math" w:hAnsi="Cambria Math"/>
                  <w:i/>
                </w:rPr>
              </m:ctrlPr>
            </m:fPr>
            <m:num>
              <m:r>
                <w:rPr>
                  <w:rFonts w:ascii="Cambria Math"/>
                </w:rPr>
                <m:t xml:space="preserve">POD </m:t>
              </m:r>
            </m:num>
            <m:den>
              <m:r>
                <w:rPr>
                  <w:rFonts w:ascii="Cambria Math"/>
                </w:rPr>
                <m:t>UF</m:t>
              </m:r>
            </m:den>
          </m:f>
          <m:r>
            <w:rPr>
              <w:rFonts w:ascii="Cambria Math" w:hAnsi="Cambria Math" w:cs="Calibri"/>
            </w:rPr>
            <m:t>•1</m:t>
          </m:r>
          <m:r>
            <w:rPr>
              <w:rFonts w:ascii="Cambria Math"/>
            </w:rPr>
            <m:t>5 kg</m:t>
          </m:r>
        </m:oMath>
      </m:oMathPara>
    </w:p>
    <w:p w14:paraId="1C34C925" w14:textId="77777777" w:rsidR="009F5F3E" w:rsidRDefault="009F5F3E" w:rsidP="008A2E20">
      <w:pPr>
        <w:widowControl w:val="0"/>
        <w:autoSpaceDE w:val="0"/>
        <w:autoSpaceDN w:val="0"/>
        <w:adjustRightInd w:val="0"/>
      </w:pPr>
    </w:p>
    <w:p w14:paraId="11FAA04F" w14:textId="7768717A" w:rsidR="005812FB" w:rsidRPr="00AE008E" w:rsidRDefault="00840500" w:rsidP="005812FB">
      <w:pPr>
        <w:widowControl w:val="0"/>
        <w:ind w:left="2160" w:hanging="720"/>
      </w:pPr>
      <w:r>
        <w:t>4)</w:t>
      </w:r>
      <w:r>
        <w:tab/>
      </w:r>
      <w:r w:rsidR="005812FB" w:rsidRPr="00AE008E">
        <w:t xml:space="preserve">Uncertainty Factors must be applied to the Point of Departure (POD) in increments of 1, 3, or 10, not to exceed a total </w:t>
      </w:r>
      <w:proofErr w:type="spellStart"/>
      <w:r w:rsidR="005812FB" w:rsidRPr="00AE008E">
        <w:t>UF</w:t>
      </w:r>
      <w:proofErr w:type="spellEnd"/>
      <w:r w:rsidR="005812FB" w:rsidRPr="00AE008E">
        <w:t xml:space="preserve"> of 10,000, and must be used consistent with USEPA guidance.  A composite </w:t>
      </w:r>
      <w:proofErr w:type="spellStart"/>
      <w:r w:rsidR="005812FB" w:rsidRPr="00AE008E">
        <w:t>UF</w:t>
      </w:r>
      <w:proofErr w:type="spellEnd"/>
      <w:r w:rsidR="005812FB" w:rsidRPr="00AE008E">
        <w:t xml:space="preserve"> of 3 and 10 </w:t>
      </w:r>
      <w:r w:rsidR="00B95559">
        <w:t>must</w:t>
      </w:r>
      <w:r w:rsidR="005812FB" w:rsidRPr="00AE008E">
        <w:t xml:space="preserve"> be expressed as 30</w:t>
      </w:r>
      <w:r w:rsidR="00B95559">
        <w:t>.</w:t>
      </w:r>
      <w:r w:rsidR="005812FB" w:rsidRPr="00AE008E">
        <w:t xml:space="preserve"> </w:t>
      </w:r>
      <w:r w:rsidR="00B95559">
        <w:t xml:space="preserve">A </w:t>
      </w:r>
      <w:r w:rsidR="005812FB" w:rsidRPr="00AE008E">
        <w:t xml:space="preserve">composite </w:t>
      </w:r>
      <w:proofErr w:type="spellStart"/>
      <w:r w:rsidR="005812FB" w:rsidRPr="00AE008E">
        <w:t>UF</w:t>
      </w:r>
      <w:proofErr w:type="spellEnd"/>
      <w:r w:rsidR="005812FB" w:rsidRPr="00AE008E">
        <w:t xml:space="preserve"> of 3 and 3 </w:t>
      </w:r>
      <w:r w:rsidR="00B95559">
        <w:t>must</w:t>
      </w:r>
      <w:r w:rsidR="005812FB" w:rsidRPr="00AE008E">
        <w:t xml:space="preserve"> be expressed as 10.  </w:t>
      </w:r>
      <w:proofErr w:type="spellStart"/>
      <w:r w:rsidR="005812FB" w:rsidRPr="00AE008E">
        <w:t>UFs</w:t>
      </w:r>
      <w:proofErr w:type="spellEnd"/>
      <w:r w:rsidR="005812FB" w:rsidRPr="00AE008E">
        <w:t xml:space="preserve"> may be used to account for the following:</w:t>
      </w:r>
    </w:p>
    <w:p w14:paraId="56E4A348" w14:textId="77777777" w:rsidR="005812FB" w:rsidRPr="00AE008E" w:rsidRDefault="005812FB" w:rsidP="008A2E20">
      <w:pPr>
        <w:widowControl w:val="0"/>
      </w:pPr>
    </w:p>
    <w:p w14:paraId="1C58DDEC" w14:textId="70761AA4" w:rsidR="005812FB" w:rsidRPr="00AE008E" w:rsidRDefault="005812FB" w:rsidP="005812FB">
      <w:pPr>
        <w:widowControl w:val="0"/>
        <w:ind w:left="2160"/>
      </w:pPr>
      <w:r w:rsidRPr="00AE008E">
        <w:t>A)</w:t>
      </w:r>
      <w:r w:rsidRPr="00AE008E">
        <w:tab/>
        <w:t xml:space="preserve">Interspecies Variability </w:t>
      </w:r>
    </w:p>
    <w:p w14:paraId="18465545" w14:textId="77777777" w:rsidR="005812FB" w:rsidRPr="00AE008E" w:rsidRDefault="005812FB" w:rsidP="008A2E20">
      <w:pPr>
        <w:widowControl w:val="0"/>
      </w:pPr>
    </w:p>
    <w:p w14:paraId="5D41E3D3" w14:textId="6E3F4A9B" w:rsidR="005812FB" w:rsidRPr="00AE008E" w:rsidRDefault="005812FB" w:rsidP="005812FB">
      <w:pPr>
        <w:widowControl w:val="0"/>
        <w:ind w:left="2160"/>
      </w:pPr>
      <w:r w:rsidRPr="00AE008E">
        <w:t>B)</w:t>
      </w:r>
      <w:r w:rsidRPr="00AE008E">
        <w:tab/>
        <w:t>Intraspecies Variability</w:t>
      </w:r>
    </w:p>
    <w:p w14:paraId="43CDF27D" w14:textId="77777777" w:rsidR="005812FB" w:rsidRPr="00AE008E" w:rsidRDefault="005812FB" w:rsidP="008A2E20">
      <w:pPr>
        <w:widowControl w:val="0"/>
      </w:pPr>
    </w:p>
    <w:p w14:paraId="4EDC8146" w14:textId="2FF85C60" w:rsidR="005812FB" w:rsidRPr="00AE008E" w:rsidRDefault="005812FB" w:rsidP="005812FB">
      <w:pPr>
        <w:widowControl w:val="0"/>
        <w:ind w:left="2880" w:hanging="720"/>
      </w:pPr>
      <w:r w:rsidRPr="00AE008E">
        <w:t>C)</w:t>
      </w:r>
      <w:r w:rsidRPr="00AE008E">
        <w:tab/>
        <w:t>Lowest Observable Adverse Effects Level (</w:t>
      </w:r>
      <w:proofErr w:type="spellStart"/>
      <w:r w:rsidRPr="00AE008E">
        <w:t>LOAEL</w:t>
      </w:r>
      <w:proofErr w:type="spellEnd"/>
      <w:r w:rsidRPr="00AE008E">
        <w:t>) to No Observed Adverse Effects Level (</w:t>
      </w:r>
      <w:proofErr w:type="spellStart"/>
      <w:r w:rsidRPr="00AE008E">
        <w:t>NOAEL</w:t>
      </w:r>
      <w:proofErr w:type="spellEnd"/>
      <w:r w:rsidRPr="00AE008E">
        <w:t>) Uncertainty</w:t>
      </w:r>
    </w:p>
    <w:p w14:paraId="7C58286D" w14:textId="77777777" w:rsidR="005812FB" w:rsidRPr="00AE008E" w:rsidRDefault="005812FB" w:rsidP="008A2E20">
      <w:pPr>
        <w:widowControl w:val="0"/>
      </w:pPr>
    </w:p>
    <w:p w14:paraId="5D13E12C" w14:textId="076CF42B" w:rsidR="005812FB" w:rsidRPr="00AE008E" w:rsidRDefault="005812FB" w:rsidP="005812FB">
      <w:pPr>
        <w:widowControl w:val="0"/>
        <w:ind w:left="2160"/>
      </w:pPr>
      <w:r w:rsidRPr="00AE008E">
        <w:t>D)</w:t>
      </w:r>
      <w:r w:rsidRPr="00AE008E">
        <w:tab/>
        <w:t>Database Deficiencies</w:t>
      </w:r>
    </w:p>
    <w:p w14:paraId="5EB22D53" w14:textId="77777777" w:rsidR="005812FB" w:rsidRPr="00AE008E" w:rsidRDefault="005812FB" w:rsidP="008A2E20">
      <w:pPr>
        <w:widowControl w:val="0"/>
      </w:pPr>
    </w:p>
    <w:p w14:paraId="7481A8E8" w14:textId="1A6BE7A9" w:rsidR="005812FB" w:rsidRPr="00AE008E" w:rsidRDefault="005812FB" w:rsidP="005812FB">
      <w:pPr>
        <w:widowControl w:val="0"/>
        <w:ind w:left="2160"/>
      </w:pPr>
      <w:r w:rsidRPr="00AE008E">
        <w:t>E)</w:t>
      </w:r>
      <w:r w:rsidRPr="00AE008E">
        <w:tab/>
      </w:r>
      <w:proofErr w:type="spellStart"/>
      <w:r w:rsidRPr="00AE008E">
        <w:t>Subchronic</w:t>
      </w:r>
      <w:proofErr w:type="spellEnd"/>
      <w:r w:rsidRPr="00AE008E">
        <w:t xml:space="preserve"> to Chronic Duration</w:t>
      </w:r>
    </w:p>
    <w:p w14:paraId="46F62F63" w14:textId="3F2F8042" w:rsidR="009F5F3E" w:rsidRDefault="009F5F3E" w:rsidP="008A2E20">
      <w:pPr>
        <w:widowControl w:val="0"/>
        <w:autoSpaceDE w:val="0"/>
        <w:autoSpaceDN w:val="0"/>
        <w:adjustRightInd w:val="0"/>
      </w:pPr>
    </w:p>
    <w:p w14:paraId="6D84CB32" w14:textId="77777777" w:rsidR="00840500" w:rsidRDefault="00840500" w:rsidP="00840500">
      <w:pPr>
        <w:widowControl w:val="0"/>
        <w:autoSpaceDE w:val="0"/>
        <w:autoSpaceDN w:val="0"/>
        <w:adjustRightInd w:val="0"/>
        <w:ind w:left="1440" w:hanging="720"/>
      </w:pPr>
      <w:r>
        <w:t>c)</w:t>
      </w:r>
      <w:r>
        <w:tab/>
        <w:t xml:space="preserve">Procedures for Establishing Validity of Data from Animal Studies </w:t>
      </w:r>
    </w:p>
    <w:p w14:paraId="1A741C07" w14:textId="77777777" w:rsidR="009F5F3E" w:rsidRDefault="009F5F3E" w:rsidP="008A2E20">
      <w:pPr>
        <w:widowControl w:val="0"/>
        <w:autoSpaceDE w:val="0"/>
        <w:autoSpaceDN w:val="0"/>
        <w:adjustRightInd w:val="0"/>
      </w:pPr>
    </w:p>
    <w:p w14:paraId="7363EA84" w14:textId="77777777" w:rsidR="00840500" w:rsidRDefault="00840500" w:rsidP="00840500">
      <w:pPr>
        <w:widowControl w:val="0"/>
        <w:autoSpaceDE w:val="0"/>
        <w:autoSpaceDN w:val="0"/>
        <w:adjustRightInd w:val="0"/>
        <w:ind w:left="2160" w:hanging="720"/>
      </w:pPr>
      <w:r>
        <w:t>1)</w:t>
      </w:r>
      <w:r>
        <w:tab/>
        <w:t xml:space="preserve">High Validity Studies </w:t>
      </w:r>
    </w:p>
    <w:p w14:paraId="5B28D013" w14:textId="77777777" w:rsidR="009F5F3E" w:rsidRDefault="009F5F3E" w:rsidP="008A2E20">
      <w:pPr>
        <w:widowControl w:val="0"/>
        <w:autoSpaceDE w:val="0"/>
        <w:autoSpaceDN w:val="0"/>
        <w:adjustRightInd w:val="0"/>
      </w:pPr>
    </w:p>
    <w:p w14:paraId="47C34823" w14:textId="77777777" w:rsidR="00840500" w:rsidRDefault="00840500" w:rsidP="00840500">
      <w:pPr>
        <w:widowControl w:val="0"/>
        <w:autoSpaceDE w:val="0"/>
        <w:autoSpaceDN w:val="0"/>
        <w:adjustRightInd w:val="0"/>
        <w:ind w:left="2880" w:hanging="720"/>
      </w:pPr>
      <w:r>
        <w:t>A)</w:t>
      </w:r>
      <w:r>
        <w:tab/>
        <w:t xml:space="preserve">High validity studies use a route of exposure by ingestion or gavage, and are based upon: </w:t>
      </w:r>
    </w:p>
    <w:p w14:paraId="29B33B63" w14:textId="77777777" w:rsidR="009F5F3E" w:rsidRDefault="009F5F3E" w:rsidP="008A2E20">
      <w:pPr>
        <w:widowControl w:val="0"/>
        <w:autoSpaceDE w:val="0"/>
        <w:autoSpaceDN w:val="0"/>
        <w:adjustRightInd w:val="0"/>
      </w:pPr>
    </w:p>
    <w:p w14:paraId="5BFA022E" w14:textId="77777777" w:rsidR="00840500" w:rsidRDefault="00840500" w:rsidP="00840500">
      <w:pPr>
        <w:widowControl w:val="0"/>
        <w:autoSpaceDE w:val="0"/>
        <w:autoSpaceDN w:val="0"/>
        <w:adjustRightInd w:val="0"/>
        <w:ind w:left="3600" w:hanging="720"/>
      </w:pPr>
      <w:proofErr w:type="spellStart"/>
      <w:r>
        <w:t>i</w:t>
      </w:r>
      <w:proofErr w:type="spellEnd"/>
      <w:r>
        <w:t>)</w:t>
      </w:r>
      <w:r>
        <w:tab/>
        <w:t xml:space="preserve">Data from animal carcinogenicity studies with a minimum of 2 dose levels and a control group, 2 species, both sexes, with 50 animals per dose per sex, and at least 50 percent survival at 15 months in mice and 18 months in rats and at least 25 percent survival at 18 months in mice and 24 months in rats; </w:t>
      </w:r>
    </w:p>
    <w:p w14:paraId="213287EA" w14:textId="77777777" w:rsidR="009F5F3E" w:rsidRDefault="009F5F3E" w:rsidP="008A2E20">
      <w:pPr>
        <w:widowControl w:val="0"/>
        <w:autoSpaceDE w:val="0"/>
        <w:autoSpaceDN w:val="0"/>
        <w:adjustRightInd w:val="0"/>
      </w:pPr>
    </w:p>
    <w:p w14:paraId="2A94D062" w14:textId="77777777" w:rsidR="00840500" w:rsidRDefault="00840500" w:rsidP="00840500">
      <w:pPr>
        <w:widowControl w:val="0"/>
        <w:autoSpaceDE w:val="0"/>
        <w:autoSpaceDN w:val="0"/>
        <w:adjustRightInd w:val="0"/>
        <w:ind w:left="3600" w:hanging="720"/>
      </w:pPr>
      <w:r>
        <w:t>ii)</w:t>
      </w:r>
      <w:r>
        <w:tab/>
        <w:t xml:space="preserve">Data from animal chronic studies with a minimum of 3 dose levels and a control group, 2 species, both sexes, with 40 animals per dose per sex, and at least 50 percent survival at 15 months in mice and 18 months in rats and at least 25 </w:t>
      </w:r>
      <w:r>
        <w:lastRenderedPageBreak/>
        <w:t xml:space="preserve">percent survival at 18 months in mice and 24 months in rats, and a well-defined </w:t>
      </w:r>
      <w:proofErr w:type="spellStart"/>
      <w:r>
        <w:t>NOAEL</w:t>
      </w:r>
      <w:proofErr w:type="spellEnd"/>
      <w:r>
        <w:t xml:space="preserve">; or </w:t>
      </w:r>
    </w:p>
    <w:p w14:paraId="2A0B182B" w14:textId="77777777" w:rsidR="009F5F3E" w:rsidRDefault="009F5F3E" w:rsidP="008A2E20">
      <w:pPr>
        <w:widowControl w:val="0"/>
        <w:autoSpaceDE w:val="0"/>
        <w:autoSpaceDN w:val="0"/>
        <w:adjustRightInd w:val="0"/>
      </w:pPr>
    </w:p>
    <w:p w14:paraId="06AAF7ED" w14:textId="77777777" w:rsidR="00840500" w:rsidRDefault="00840500" w:rsidP="00840500">
      <w:pPr>
        <w:widowControl w:val="0"/>
        <w:autoSpaceDE w:val="0"/>
        <w:autoSpaceDN w:val="0"/>
        <w:adjustRightInd w:val="0"/>
        <w:ind w:left="3600" w:hanging="720"/>
      </w:pPr>
      <w:r>
        <w:t>iii)</w:t>
      </w:r>
      <w:r>
        <w:tab/>
        <w:t xml:space="preserve">Data from animal </w:t>
      </w:r>
      <w:proofErr w:type="spellStart"/>
      <w:r>
        <w:t>subchronic</w:t>
      </w:r>
      <w:proofErr w:type="spellEnd"/>
      <w:r>
        <w:t xml:space="preserve"> studies with a minimum of 3 dose levels and control, 2 species, both sexes, 4 animals per dose per sex for non-rodent species or 10 animals per dose per sex for rodent species, a duration of at least 5% of the test species' lifespan, and a well-defined </w:t>
      </w:r>
      <w:proofErr w:type="spellStart"/>
      <w:r>
        <w:t>NOAEL</w:t>
      </w:r>
      <w:proofErr w:type="spellEnd"/>
      <w:r>
        <w:t xml:space="preserve">. </w:t>
      </w:r>
    </w:p>
    <w:p w14:paraId="67F5EB74" w14:textId="77777777" w:rsidR="009F5F3E" w:rsidRDefault="009F5F3E" w:rsidP="008A2E20">
      <w:pPr>
        <w:widowControl w:val="0"/>
        <w:autoSpaceDE w:val="0"/>
        <w:autoSpaceDN w:val="0"/>
        <w:adjustRightInd w:val="0"/>
      </w:pPr>
    </w:p>
    <w:p w14:paraId="6056AF5C" w14:textId="0FAF9025" w:rsidR="00840500" w:rsidRDefault="00840500" w:rsidP="00840500">
      <w:pPr>
        <w:widowControl w:val="0"/>
        <w:autoSpaceDE w:val="0"/>
        <w:autoSpaceDN w:val="0"/>
        <w:adjustRightInd w:val="0"/>
        <w:ind w:left="2880" w:hanging="720"/>
      </w:pPr>
      <w:r>
        <w:t>B)</w:t>
      </w:r>
      <w:r>
        <w:tab/>
        <w:t xml:space="preserve">Supporting studies </w:t>
      </w:r>
      <w:r w:rsidR="00B95559">
        <w:t>that</w:t>
      </w:r>
      <w:r>
        <w:t xml:space="preserve"> reinforce the conclusions of a study of Medium Validity may be considered to raise </w:t>
      </w:r>
      <w:r w:rsidR="0084686B">
        <w:t xml:space="preserve">the </w:t>
      </w:r>
      <w:r>
        <w:t xml:space="preserve">study to High Validity. </w:t>
      </w:r>
    </w:p>
    <w:p w14:paraId="78923DAD" w14:textId="77777777" w:rsidR="009F5F3E" w:rsidRDefault="009F5F3E" w:rsidP="008A2E20">
      <w:pPr>
        <w:widowControl w:val="0"/>
        <w:autoSpaceDE w:val="0"/>
        <w:autoSpaceDN w:val="0"/>
        <w:adjustRightInd w:val="0"/>
      </w:pPr>
    </w:p>
    <w:p w14:paraId="1D550D36" w14:textId="77777777" w:rsidR="00840500" w:rsidRDefault="00840500" w:rsidP="00840500">
      <w:pPr>
        <w:widowControl w:val="0"/>
        <w:autoSpaceDE w:val="0"/>
        <w:autoSpaceDN w:val="0"/>
        <w:adjustRightInd w:val="0"/>
        <w:ind w:left="2160" w:hanging="720"/>
      </w:pPr>
      <w:r>
        <w:t>2)</w:t>
      </w:r>
      <w:r>
        <w:tab/>
        <w:t xml:space="preserve">Medium Validity Studies </w:t>
      </w:r>
    </w:p>
    <w:p w14:paraId="62E891BA" w14:textId="37E813F1" w:rsidR="00840500" w:rsidRDefault="00840500" w:rsidP="005812FB">
      <w:pPr>
        <w:widowControl w:val="0"/>
        <w:autoSpaceDE w:val="0"/>
        <w:autoSpaceDN w:val="0"/>
        <w:adjustRightInd w:val="0"/>
        <w:ind w:left="2160"/>
      </w:pPr>
      <w:r>
        <w:t xml:space="preserve">Medium validity studies are based upon: </w:t>
      </w:r>
    </w:p>
    <w:p w14:paraId="0F2B86DB" w14:textId="77777777" w:rsidR="009F5F3E" w:rsidRDefault="009F5F3E" w:rsidP="008A2E20">
      <w:pPr>
        <w:widowControl w:val="0"/>
        <w:autoSpaceDE w:val="0"/>
        <w:autoSpaceDN w:val="0"/>
        <w:adjustRightInd w:val="0"/>
      </w:pPr>
    </w:p>
    <w:p w14:paraId="13E143D2" w14:textId="5D398CAB" w:rsidR="00840500" w:rsidRDefault="00840500" w:rsidP="00840500">
      <w:pPr>
        <w:widowControl w:val="0"/>
        <w:autoSpaceDE w:val="0"/>
        <w:autoSpaceDN w:val="0"/>
        <w:adjustRightInd w:val="0"/>
        <w:ind w:left="2880" w:hanging="720"/>
      </w:pPr>
      <w:r>
        <w:t>A)</w:t>
      </w:r>
      <w:r>
        <w:tab/>
        <w:t xml:space="preserve">Data from animal carcinogenicity, chronic, or </w:t>
      </w:r>
      <w:proofErr w:type="spellStart"/>
      <w:r>
        <w:t>subchronic</w:t>
      </w:r>
      <w:proofErr w:type="spellEnd"/>
      <w:r>
        <w:t xml:space="preserve"> studies in which minor deviations from the study design elements required for a High Validity Study are found, but </w:t>
      </w:r>
      <w:r w:rsidR="00B95559">
        <w:t>that</w:t>
      </w:r>
      <w:r>
        <w:t xml:space="preserve"> otherwise satisfy the standards for a High Validity Study; </w:t>
      </w:r>
    </w:p>
    <w:p w14:paraId="43F394F9" w14:textId="77777777" w:rsidR="009F5F3E" w:rsidRDefault="009F5F3E" w:rsidP="008A2E20">
      <w:pPr>
        <w:widowControl w:val="0"/>
        <w:autoSpaceDE w:val="0"/>
        <w:autoSpaceDN w:val="0"/>
        <w:adjustRightInd w:val="0"/>
      </w:pPr>
    </w:p>
    <w:p w14:paraId="72A6EB72" w14:textId="0CB4381C" w:rsidR="00840500" w:rsidRDefault="00840500" w:rsidP="00840500">
      <w:pPr>
        <w:widowControl w:val="0"/>
        <w:autoSpaceDE w:val="0"/>
        <w:autoSpaceDN w:val="0"/>
        <w:adjustRightInd w:val="0"/>
        <w:ind w:left="2880" w:hanging="720"/>
      </w:pPr>
      <w:r>
        <w:t>B)</w:t>
      </w:r>
      <w:r>
        <w:tab/>
        <w:t xml:space="preserve">Data from animal carcinogenicity and chronic studies in which at least 25 percent survival is reported at 15 months in mice and 18 months in rats (a lesser survival is permitted at the conclusion of a longer duration study but the number of surviving animals </w:t>
      </w:r>
      <w:r w:rsidR="00B95559">
        <w:t>must</w:t>
      </w:r>
      <w:r>
        <w:t xml:space="preserve"> not fall below 20 percent per dose per sex at 18 months for mice and 24 months for rats), but </w:t>
      </w:r>
      <w:r w:rsidR="001F2C9B">
        <w:t>that</w:t>
      </w:r>
      <w:r>
        <w:t xml:space="preserve"> otherwise satisfy the standards for a High Validity Study; </w:t>
      </w:r>
    </w:p>
    <w:p w14:paraId="08A37033" w14:textId="77777777" w:rsidR="009F5F3E" w:rsidRDefault="009F5F3E" w:rsidP="008A2E20">
      <w:pPr>
        <w:widowControl w:val="0"/>
        <w:autoSpaceDE w:val="0"/>
        <w:autoSpaceDN w:val="0"/>
        <w:adjustRightInd w:val="0"/>
      </w:pPr>
    </w:p>
    <w:p w14:paraId="01140AB4" w14:textId="78D94C7B" w:rsidR="00840500" w:rsidRDefault="00840500" w:rsidP="00840500">
      <w:pPr>
        <w:widowControl w:val="0"/>
        <w:autoSpaceDE w:val="0"/>
        <w:autoSpaceDN w:val="0"/>
        <w:adjustRightInd w:val="0"/>
        <w:ind w:left="2880" w:hanging="720"/>
      </w:pPr>
      <w:r>
        <w:t>C)</w:t>
      </w:r>
      <w:r>
        <w:tab/>
        <w:t xml:space="preserve">Data from animal </w:t>
      </w:r>
      <w:proofErr w:type="spellStart"/>
      <w:r>
        <w:t>subchronic</w:t>
      </w:r>
      <w:proofErr w:type="spellEnd"/>
      <w:r>
        <w:t xml:space="preserve"> or chronic studies in which a Lowest Observable Adverse Effect Level (</w:t>
      </w:r>
      <w:proofErr w:type="spellStart"/>
      <w:r>
        <w:t>LOAEL</w:t>
      </w:r>
      <w:proofErr w:type="spellEnd"/>
      <w:r>
        <w:t xml:space="preserve">) is determined, but </w:t>
      </w:r>
      <w:r w:rsidR="00B95559">
        <w:t>that</w:t>
      </w:r>
      <w:r>
        <w:t xml:space="preserve"> otherwise satisfy the standards for a High Validity Study; or </w:t>
      </w:r>
    </w:p>
    <w:p w14:paraId="78EB5B60" w14:textId="77777777" w:rsidR="009F5F3E" w:rsidRDefault="009F5F3E" w:rsidP="008A2E20">
      <w:pPr>
        <w:widowControl w:val="0"/>
        <w:autoSpaceDE w:val="0"/>
        <w:autoSpaceDN w:val="0"/>
        <w:adjustRightInd w:val="0"/>
      </w:pPr>
    </w:p>
    <w:p w14:paraId="781D76B9" w14:textId="69A40048" w:rsidR="00840500" w:rsidRDefault="00840500" w:rsidP="00840500">
      <w:pPr>
        <w:widowControl w:val="0"/>
        <w:autoSpaceDE w:val="0"/>
        <w:autoSpaceDN w:val="0"/>
        <w:adjustRightInd w:val="0"/>
        <w:ind w:left="2880" w:hanging="720"/>
      </w:pPr>
      <w:r>
        <w:t>D)</w:t>
      </w:r>
      <w:r>
        <w:tab/>
        <w:t xml:space="preserve">Data from animal </w:t>
      </w:r>
      <w:proofErr w:type="spellStart"/>
      <w:r>
        <w:t>subchronic</w:t>
      </w:r>
      <w:proofErr w:type="spellEnd"/>
      <w:r>
        <w:t xml:space="preserve"> or chronic studies </w:t>
      </w:r>
      <w:r w:rsidR="00B95559">
        <w:t>that</w:t>
      </w:r>
      <w:r>
        <w:t xml:space="preserve"> have an inappropriate route of exposure (</w:t>
      </w:r>
      <w:r w:rsidR="00B95559">
        <w:t>e.g.</w:t>
      </w:r>
      <w:r>
        <w:t>, intraperitoneal injection or inhalation)</w:t>
      </w:r>
      <w:r w:rsidR="001F2C9B">
        <w:t xml:space="preserve">, but </w:t>
      </w:r>
      <w:r w:rsidR="00B95559">
        <w:t>that</w:t>
      </w:r>
      <w:r>
        <w:t xml:space="preserve"> otherwise satisfy the standards for a High Validity Study, with correction factors for conversion to the oral route. </w:t>
      </w:r>
    </w:p>
    <w:p w14:paraId="1D607E89" w14:textId="77777777" w:rsidR="009F5F3E" w:rsidRDefault="009F5F3E" w:rsidP="008A2E20">
      <w:pPr>
        <w:widowControl w:val="0"/>
        <w:autoSpaceDE w:val="0"/>
        <w:autoSpaceDN w:val="0"/>
        <w:adjustRightInd w:val="0"/>
      </w:pPr>
    </w:p>
    <w:p w14:paraId="19E313D5" w14:textId="77777777" w:rsidR="00840500" w:rsidRDefault="00840500" w:rsidP="00840500">
      <w:pPr>
        <w:widowControl w:val="0"/>
        <w:autoSpaceDE w:val="0"/>
        <w:autoSpaceDN w:val="0"/>
        <w:adjustRightInd w:val="0"/>
        <w:ind w:left="2160" w:hanging="720"/>
      </w:pPr>
      <w:r>
        <w:t>3)</w:t>
      </w:r>
      <w:r>
        <w:tab/>
        <w:t xml:space="preserve">Low Validity Studies </w:t>
      </w:r>
    </w:p>
    <w:p w14:paraId="377C7F7D" w14:textId="53ABAF29" w:rsidR="00840500" w:rsidRDefault="00840500" w:rsidP="005812FB">
      <w:pPr>
        <w:widowControl w:val="0"/>
        <w:autoSpaceDE w:val="0"/>
        <w:autoSpaceDN w:val="0"/>
        <w:adjustRightInd w:val="0"/>
        <w:ind w:left="2160"/>
      </w:pPr>
      <w:r>
        <w:t xml:space="preserve">Low validity studies are studies not meeting the standards </w:t>
      </w:r>
      <w:r w:rsidR="00B95559">
        <w:t>specified</w:t>
      </w:r>
      <w:r>
        <w:t xml:space="preserve"> in subsection (c)(1) or (c)(2). </w:t>
      </w:r>
    </w:p>
    <w:p w14:paraId="3E339F39" w14:textId="70689E10" w:rsidR="00504F2B" w:rsidRDefault="00504F2B" w:rsidP="008A2E20">
      <w:pPr>
        <w:widowControl w:val="0"/>
        <w:autoSpaceDE w:val="0"/>
        <w:autoSpaceDN w:val="0"/>
        <w:adjustRightInd w:val="0"/>
      </w:pPr>
    </w:p>
    <w:p w14:paraId="702160AC" w14:textId="71B16C1A" w:rsidR="005812FB" w:rsidRPr="0084686B" w:rsidRDefault="005812FB" w:rsidP="005812FB">
      <w:pPr>
        <w:widowControl w:val="0"/>
        <w:ind w:left="1440" w:hanging="720"/>
      </w:pPr>
      <w:r w:rsidRPr="0084686B">
        <w:t>d)</w:t>
      </w:r>
      <w:r w:rsidRPr="0084686B">
        <w:tab/>
        <w:t xml:space="preserve">Calculating a Human </w:t>
      </w:r>
      <w:proofErr w:type="spellStart"/>
      <w:r w:rsidRPr="0084686B">
        <w:t>Nonthreshold</w:t>
      </w:r>
      <w:proofErr w:type="spellEnd"/>
      <w:r w:rsidRPr="0084686B">
        <w:t xml:space="preserve"> Toxicant Advisory Concentration (</w:t>
      </w:r>
      <w:proofErr w:type="spellStart"/>
      <w:r w:rsidRPr="0084686B">
        <w:t>HNTAC</w:t>
      </w:r>
      <w:proofErr w:type="spellEnd"/>
      <w:r w:rsidRPr="0084686B">
        <w:t>) for Cancer Risk</w:t>
      </w:r>
    </w:p>
    <w:p w14:paraId="08425947" w14:textId="43DE36AE" w:rsidR="005812FB" w:rsidRPr="0084686B" w:rsidRDefault="005812FB" w:rsidP="005812FB">
      <w:pPr>
        <w:widowControl w:val="0"/>
        <w:ind w:left="1440"/>
      </w:pPr>
      <w:r w:rsidRPr="0084686B">
        <w:t xml:space="preserve">The Human </w:t>
      </w:r>
      <w:proofErr w:type="spellStart"/>
      <w:r w:rsidRPr="0084686B">
        <w:t>Nonthreshold</w:t>
      </w:r>
      <w:proofErr w:type="spellEnd"/>
      <w:r w:rsidRPr="0084686B">
        <w:t xml:space="preserve"> Toxicant Advisory Concentration (</w:t>
      </w:r>
      <w:proofErr w:type="spellStart"/>
      <w:r w:rsidRPr="0084686B">
        <w:t>HNTAC</w:t>
      </w:r>
      <w:proofErr w:type="spellEnd"/>
      <w:r w:rsidRPr="0084686B">
        <w:t xml:space="preserve">) is </w:t>
      </w:r>
      <w:r w:rsidRPr="0084686B">
        <w:lastRenderedPageBreak/>
        <w:t>calculated as follows:</w:t>
      </w:r>
    </w:p>
    <w:p w14:paraId="7467A1B3" w14:textId="77777777" w:rsidR="005812FB" w:rsidRPr="0084686B" w:rsidRDefault="005812FB" w:rsidP="008A2E20">
      <w:pPr>
        <w:widowControl w:val="0"/>
      </w:pPr>
    </w:p>
    <w:p w14:paraId="46B356F9" w14:textId="26B8C654" w:rsidR="005812FB" w:rsidRPr="0084686B" w:rsidRDefault="005812FB" w:rsidP="005812FB">
      <w:pPr>
        <w:widowControl w:val="0"/>
        <w:ind w:left="2160" w:hanging="720"/>
      </w:pPr>
      <w:r w:rsidRPr="0084686B">
        <w:t>1)</w:t>
      </w:r>
      <w:r w:rsidRPr="0084686B">
        <w:tab/>
      </w:r>
      <w:r w:rsidR="00B95559">
        <w:t>If USEPA has designated a chemical as a "mutagen"</w:t>
      </w:r>
      <w:r w:rsidR="001F2C9B">
        <w:t>,</w:t>
      </w:r>
      <w:r w:rsidR="00B95559">
        <w:t xml:space="preserve"> </w:t>
      </w:r>
      <w:r w:rsidRPr="0084686B">
        <w:t xml:space="preserve">the </w:t>
      </w:r>
      <w:proofErr w:type="spellStart"/>
      <w:r w:rsidRPr="0084686B">
        <w:t>HNTAC</w:t>
      </w:r>
      <w:proofErr w:type="spellEnd"/>
      <w:r w:rsidRPr="0084686B">
        <w:t xml:space="preserve"> </w:t>
      </w:r>
      <w:r w:rsidR="00B95559">
        <w:t xml:space="preserve">of the chemical </w:t>
      </w:r>
      <w:r w:rsidRPr="0084686B">
        <w:t>is calculated as follows:</w:t>
      </w:r>
    </w:p>
    <w:p w14:paraId="59288C3A" w14:textId="03987201" w:rsidR="005812FB" w:rsidRPr="000A14FF" w:rsidRDefault="005812FB" w:rsidP="008A2E20">
      <w:pPr>
        <w:widowControl w:val="0"/>
      </w:pPr>
    </w:p>
    <w:p w14:paraId="1F89E2A2" w14:textId="33041F4E" w:rsidR="005812FB" w:rsidRPr="000A14FF" w:rsidRDefault="005812FB" w:rsidP="005812FB">
      <w:pPr>
        <w:widowControl w:val="0"/>
        <w:ind w:left="1440"/>
        <w:rPr>
          <w:u w:val="single"/>
        </w:rPr>
      </w:pPr>
      <m:oMathPara>
        <m:oMathParaPr>
          <m:jc m:val="center"/>
        </m:oMathParaPr>
        <m:oMath>
          <m:r>
            <w:rPr>
              <w:rFonts w:ascii="Cambria Math" w:hAnsi="Cambria Math"/>
            </w:rPr>
            <m:t>HNTAC=</m:t>
          </m:r>
          <m:f>
            <m:fPr>
              <m:ctrlPr>
                <w:rPr>
                  <w:rFonts w:ascii="Cambria Math" w:hAnsi="Cambria Math"/>
                  <w:i/>
                </w:rPr>
              </m:ctrlPr>
            </m:fPr>
            <m:num>
              <m:r>
                <w:rPr>
                  <w:rFonts w:ascii="Cambria Math" w:hAnsi="Cambria Math"/>
                </w:rPr>
                <m:t>TR</m:t>
              </m:r>
              <m:r>
                <w:rPr>
                  <w:rFonts w:ascii="Cambria Math" w:hAnsi="Cambria Math" w:cs="Calibri"/>
                </w:rPr>
                <m:t>•</m:t>
              </m:r>
              <m:d>
                <m:dPr>
                  <m:ctrlPr>
                    <w:rPr>
                      <w:rFonts w:ascii="Cambria Math" w:hAnsi="Cambria Math"/>
                      <w:i/>
                    </w:rPr>
                  </m:ctrlPr>
                </m:dPr>
                <m:e>
                  <m:r>
                    <w:rPr>
                      <w:rFonts w:ascii="Cambria Math" w:hAnsi="Cambria Math"/>
                    </w:rPr>
                    <m:t>AT</m:t>
                  </m:r>
                  <m:r>
                    <w:rPr>
                      <w:rFonts w:ascii="Cambria Math" w:hAnsi="Cambria Math" w:cs="Calibri"/>
                    </w:rPr>
                    <m:t>•</m:t>
                  </m:r>
                  <m:r>
                    <w:rPr>
                      <w:rFonts w:ascii="Cambria Math" w:hAnsi="Cambria Math"/>
                    </w:rPr>
                    <m:t>365</m:t>
                  </m:r>
                  <m:f>
                    <m:fPr>
                      <m:ctrlPr>
                        <w:rPr>
                          <w:rFonts w:ascii="Cambria Math" w:hAnsi="Cambria Math"/>
                          <w:i/>
                        </w:rPr>
                      </m:ctrlPr>
                    </m:fPr>
                    <m:num>
                      <m:r>
                        <w:rPr>
                          <w:rFonts w:ascii="Cambria Math" w:hAnsi="Cambria Math"/>
                        </w:rPr>
                        <m:t>days</m:t>
                      </m:r>
                    </m:num>
                    <m:den>
                      <m:r>
                        <w:rPr>
                          <w:rFonts w:ascii="Cambria Math" w:hAnsi="Cambria Math"/>
                        </w:rPr>
                        <m:t>year</m:t>
                      </m:r>
                    </m:den>
                  </m:f>
                </m:e>
              </m:d>
            </m:num>
            <m:den>
              <m:sSub>
                <m:sSubPr>
                  <m:ctrlPr>
                    <w:rPr>
                      <w:rFonts w:ascii="Cambria Math" w:hAnsi="Cambria Math"/>
                      <w:i/>
                    </w:rPr>
                  </m:ctrlPr>
                </m:sSubPr>
                <m:e>
                  <m:r>
                    <w:rPr>
                      <w:rFonts w:ascii="Cambria Math" w:hAnsi="Cambria Math"/>
                    </w:rPr>
                    <m:t>SF</m:t>
                  </m:r>
                </m:e>
                <m:sub>
                  <m:r>
                    <w:rPr>
                      <w:rFonts w:ascii="Cambria Math" w:hAnsi="Cambria Math"/>
                    </w:rPr>
                    <m:t>o</m:t>
                  </m:r>
                </m:sub>
              </m:sSub>
              <m:r>
                <w:rPr>
                  <w:rFonts w:ascii="Cambria Math" w:hAnsi="Cambria Math" w:cs="Calibri"/>
                </w:rPr>
                <m:t>•</m:t>
              </m:r>
              <m:sSub>
                <m:sSubPr>
                  <m:ctrlPr>
                    <w:rPr>
                      <w:rFonts w:ascii="Cambria Math" w:hAnsi="Cambria Math"/>
                      <w:i/>
                    </w:rPr>
                  </m:ctrlPr>
                </m:sSubPr>
                <m:e>
                  <m:r>
                    <w:rPr>
                      <w:rFonts w:ascii="Cambria Math" w:hAnsi="Cambria Math"/>
                    </w:rPr>
                    <m:t>IFWM</m:t>
                  </m:r>
                </m:e>
                <m:sub>
                  <m:r>
                    <w:rPr>
                      <w:rFonts w:ascii="Cambria Math" w:hAnsi="Cambria Math"/>
                    </w:rPr>
                    <m:t>adj</m:t>
                  </m:r>
                </m:sub>
              </m:sSub>
            </m:den>
          </m:f>
        </m:oMath>
      </m:oMathPara>
    </w:p>
    <w:p w14:paraId="505EE2E4" w14:textId="77777777" w:rsidR="005812FB" w:rsidRPr="007F5C40" w:rsidRDefault="005812FB" w:rsidP="008A2E20">
      <w:pPr>
        <w:widowControl w:val="0"/>
      </w:pPr>
    </w:p>
    <w:p w14:paraId="633313E0" w14:textId="53D98787" w:rsidR="005812FB" w:rsidRDefault="005812FB" w:rsidP="005812FB">
      <w:pPr>
        <w:widowControl w:val="0"/>
        <w:ind w:left="2160"/>
      </w:pPr>
      <w:r w:rsidRPr="0084686B">
        <w:t>Where:</w:t>
      </w:r>
    </w:p>
    <w:p w14:paraId="5B31359C" w14:textId="77777777" w:rsidR="001F4D5B" w:rsidRPr="0084686B" w:rsidRDefault="001F4D5B" w:rsidP="008A2E20">
      <w:pPr>
        <w:widowControl w:val="0"/>
      </w:pPr>
    </w:p>
    <w:tbl>
      <w:tblPr>
        <w:tblW w:w="0" w:type="auto"/>
        <w:tblInd w:w="2358" w:type="dxa"/>
        <w:tblLook w:val="0000" w:firstRow="0" w:lastRow="0" w:firstColumn="0" w:lastColumn="0" w:noHBand="0" w:noVBand="0"/>
      </w:tblPr>
      <w:tblGrid>
        <w:gridCol w:w="1065"/>
        <w:gridCol w:w="352"/>
        <w:gridCol w:w="5588"/>
      </w:tblGrid>
      <w:tr w:rsidR="001F4D5B" w14:paraId="51F86B3A" w14:textId="77777777" w:rsidTr="003C2D25">
        <w:trPr>
          <w:trHeight w:val="675"/>
        </w:trPr>
        <w:tc>
          <w:tcPr>
            <w:tcW w:w="1065" w:type="dxa"/>
          </w:tcPr>
          <w:p w14:paraId="574CA16D" w14:textId="11F87C5A" w:rsidR="001F4D5B" w:rsidRDefault="001F4D5B" w:rsidP="00350725">
            <w:pPr>
              <w:widowControl w:val="0"/>
              <w:autoSpaceDE w:val="0"/>
              <w:autoSpaceDN w:val="0"/>
              <w:adjustRightInd w:val="0"/>
            </w:pPr>
            <w:proofErr w:type="spellStart"/>
            <w:r w:rsidRPr="0084686B">
              <w:t>HNTAC</w:t>
            </w:r>
            <w:proofErr w:type="spellEnd"/>
          </w:p>
        </w:tc>
        <w:tc>
          <w:tcPr>
            <w:tcW w:w="350" w:type="dxa"/>
          </w:tcPr>
          <w:p w14:paraId="31D9BDF9" w14:textId="77777777" w:rsidR="001F4D5B" w:rsidRDefault="001F4D5B" w:rsidP="00350725">
            <w:pPr>
              <w:widowControl w:val="0"/>
              <w:autoSpaceDE w:val="0"/>
              <w:autoSpaceDN w:val="0"/>
              <w:adjustRightInd w:val="0"/>
            </w:pPr>
            <w:r>
              <w:t>=</w:t>
            </w:r>
          </w:p>
        </w:tc>
        <w:tc>
          <w:tcPr>
            <w:tcW w:w="5588" w:type="dxa"/>
          </w:tcPr>
          <w:p w14:paraId="0959B81A" w14:textId="10916644" w:rsidR="001F4D5B" w:rsidRDefault="001F4D5B" w:rsidP="00350725">
            <w:pPr>
              <w:widowControl w:val="0"/>
              <w:autoSpaceDE w:val="0"/>
              <w:autoSpaceDN w:val="0"/>
              <w:adjustRightInd w:val="0"/>
            </w:pPr>
            <w:r w:rsidRPr="0084686B">
              <w:t xml:space="preserve">Human </w:t>
            </w:r>
            <w:proofErr w:type="spellStart"/>
            <w:r w:rsidRPr="0084686B">
              <w:t>Nonthreshold</w:t>
            </w:r>
            <w:proofErr w:type="spellEnd"/>
            <w:r w:rsidRPr="0084686B">
              <w:t xml:space="preserve"> Toxicant Advisory</w:t>
            </w:r>
            <w:r>
              <w:t xml:space="preserve"> </w:t>
            </w:r>
            <w:r w:rsidRPr="0084686B">
              <w:t>Concentration, equal to milligrams per liter</w:t>
            </w:r>
            <w:r>
              <w:t xml:space="preserve"> </w:t>
            </w:r>
            <w:r w:rsidRPr="0084686B">
              <w:t>(mg/L)</w:t>
            </w:r>
          </w:p>
        </w:tc>
      </w:tr>
      <w:tr w:rsidR="001F4D5B" w14:paraId="3D578354" w14:textId="77777777" w:rsidTr="003C2D25">
        <w:trPr>
          <w:trHeight w:val="720"/>
        </w:trPr>
        <w:tc>
          <w:tcPr>
            <w:tcW w:w="1065" w:type="dxa"/>
          </w:tcPr>
          <w:p w14:paraId="4236693C" w14:textId="336EC8BF" w:rsidR="001F4D5B" w:rsidRDefault="001F4D5B" w:rsidP="00350725">
            <w:pPr>
              <w:widowControl w:val="0"/>
              <w:autoSpaceDE w:val="0"/>
              <w:autoSpaceDN w:val="0"/>
              <w:adjustRightInd w:val="0"/>
            </w:pPr>
            <w:r w:rsidRPr="0084686B">
              <w:t>TR</w:t>
            </w:r>
          </w:p>
        </w:tc>
        <w:tc>
          <w:tcPr>
            <w:tcW w:w="350" w:type="dxa"/>
          </w:tcPr>
          <w:p w14:paraId="3C70027B" w14:textId="77777777" w:rsidR="001F4D5B" w:rsidRDefault="001F4D5B" w:rsidP="00350725">
            <w:pPr>
              <w:widowControl w:val="0"/>
              <w:autoSpaceDE w:val="0"/>
              <w:autoSpaceDN w:val="0"/>
              <w:adjustRightInd w:val="0"/>
            </w:pPr>
            <w:r>
              <w:t>=</w:t>
            </w:r>
          </w:p>
        </w:tc>
        <w:tc>
          <w:tcPr>
            <w:tcW w:w="5588" w:type="dxa"/>
          </w:tcPr>
          <w:p w14:paraId="301C00CD" w14:textId="0D4BC43E" w:rsidR="001F4D5B" w:rsidRDefault="001F4D5B" w:rsidP="00350725">
            <w:pPr>
              <w:widowControl w:val="0"/>
              <w:autoSpaceDE w:val="0"/>
              <w:autoSpaceDN w:val="0"/>
              <w:adjustRightInd w:val="0"/>
            </w:pPr>
            <w:r w:rsidRPr="0084686B">
              <w:t>Target Cancer Risk, equal to one-in-one</w:t>
            </w:r>
            <w:r>
              <w:t xml:space="preserve"> </w:t>
            </w:r>
            <w:r w:rsidRPr="0084686B">
              <w:t>million cancer risk (</w:t>
            </w:r>
            <w:proofErr w:type="spellStart"/>
            <w:r w:rsidRPr="0084686B">
              <w:t>1E</w:t>
            </w:r>
            <w:proofErr w:type="spellEnd"/>
            <w:r w:rsidRPr="0084686B">
              <w:t>-06)</w:t>
            </w:r>
          </w:p>
        </w:tc>
      </w:tr>
      <w:tr w:rsidR="001F4D5B" w14:paraId="3508B036" w14:textId="77777777" w:rsidTr="003C2D25">
        <w:trPr>
          <w:trHeight w:val="450"/>
        </w:trPr>
        <w:tc>
          <w:tcPr>
            <w:tcW w:w="1065" w:type="dxa"/>
          </w:tcPr>
          <w:p w14:paraId="6155F299" w14:textId="32CD4986" w:rsidR="001F4D5B" w:rsidRDefault="001F4D5B" w:rsidP="00350725">
            <w:pPr>
              <w:widowControl w:val="0"/>
              <w:autoSpaceDE w:val="0"/>
              <w:autoSpaceDN w:val="0"/>
              <w:adjustRightInd w:val="0"/>
            </w:pPr>
            <w:r w:rsidRPr="0084686B">
              <w:t>AT</w:t>
            </w:r>
          </w:p>
        </w:tc>
        <w:tc>
          <w:tcPr>
            <w:tcW w:w="350" w:type="dxa"/>
          </w:tcPr>
          <w:p w14:paraId="3948C38E" w14:textId="77777777" w:rsidR="001F4D5B" w:rsidRDefault="001F4D5B" w:rsidP="00350725">
            <w:pPr>
              <w:widowControl w:val="0"/>
              <w:autoSpaceDE w:val="0"/>
              <w:autoSpaceDN w:val="0"/>
              <w:adjustRightInd w:val="0"/>
            </w:pPr>
            <w:r>
              <w:t>=</w:t>
            </w:r>
          </w:p>
        </w:tc>
        <w:tc>
          <w:tcPr>
            <w:tcW w:w="5588" w:type="dxa"/>
          </w:tcPr>
          <w:p w14:paraId="3782EE9C" w14:textId="4BB72472" w:rsidR="001F4D5B" w:rsidRDefault="001F4D5B" w:rsidP="00350725">
            <w:pPr>
              <w:widowControl w:val="0"/>
              <w:autoSpaceDE w:val="0"/>
              <w:autoSpaceDN w:val="0"/>
              <w:adjustRightInd w:val="0"/>
            </w:pPr>
            <w:r w:rsidRPr="0084686B">
              <w:t>Averaging Time, equal to 70 years</w:t>
            </w:r>
          </w:p>
        </w:tc>
      </w:tr>
      <w:tr w:rsidR="001F4D5B" w14:paraId="6ACDC12B" w14:textId="77777777" w:rsidTr="003C2D25">
        <w:trPr>
          <w:trHeight w:val="720"/>
        </w:trPr>
        <w:tc>
          <w:tcPr>
            <w:tcW w:w="1065" w:type="dxa"/>
          </w:tcPr>
          <w:p w14:paraId="295CE3C8" w14:textId="056D5707" w:rsidR="001F4D5B" w:rsidRDefault="001F4D5B" w:rsidP="00350725">
            <w:pPr>
              <w:widowControl w:val="0"/>
              <w:autoSpaceDE w:val="0"/>
              <w:autoSpaceDN w:val="0"/>
              <w:adjustRightInd w:val="0"/>
            </w:pPr>
            <w:proofErr w:type="spellStart"/>
            <w:r w:rsidRPr="0084686B">
              <w:t>SF</w:t>
            </w:r>
            <w:r w:rsidRPr="0084686B">
              <w:rPr>
                <w:vertAlign w:val="subscript"/>
              </w:rPr>
              <w:t>o</w:t>
            </w:r>
            <w:proofErr w:type="spellEnd"/>
          </w:p>
        </w:tc>
        <w:tc>
          <w:tcPr>
            <w:tcW w:w="350" w:type="dxa"/>
          </w:tcPr>
          <w:p w14:paraId="6B9B332A" w14:textId="77777777" w:rsidR="001F4D5B" w:rsidRDefault="001F4D5B" w:rsidP="00350725">
            <w:pPr>
              <w:widowControl w:val="0"/>
              <w:autoSpaceDE w:val="0"/>
              <w:autoSpaceDN w:val="0"/>
              <w:adjustRightInd w:val="0"/>
            </w:pPr>
            <w:r>
              <w:t>=</w:t>
            </w:r>
          </w:p>
        </w:tc>
        <w:tc>
          <w:tcPr>
            <w:tcW w:w="5588" w:type="dxa"/>
          </w:tcPr>
          <w:p w14:paraId="3C06C559" w14:textId="257584FB" w:rsidR="001F4D5B" w:rsidRDefault="001F4D5B" w:rsidP="00350725">
            <w:pPr>
              <w:widowControl w:val="0"/>
              <w:autoSpaceDE w:val="0"/>
              <w:autoSpaceDN w:val="0"/>
              <w:adjustRightInd w:val="0"/>
            </w:pPr>
            <w:r w:rsidRPr="0084686B">
              <w:t>Oral Slope Factor (chemical-specific), equal</w:t>
            </w:r>
            <w:r>
              <w:t xml:space="preserve"> </w:t>
            </w:r>
            <w:r w:rsidRPr="0084686B">
              <w:t>to (mg/kg-day)</w:t>
            </w:r>
            <w:r w:rsidRPr="0084686B">
              <w:rPr>
                <w:vertAlign w:val="superscript"/>
              </w:rPr>
              <w:t>-1</w:t>
            </w:r>
          </w:p>
        </w:tc>
      </w:tr>
      <w:tr w:rsidR="001F4D5B" w14:paraId="7D1130D8" w14:textId="77777777" w:rsidTr="003C2D25">
        <w:trPr>
          <w:trHeight w:val="720"/>
        </w:trPr>
        <w:tc>
          <w:tcPr>
            <w:tcW w:w="1065" w:type="dxa"/>
          </w:tcPr>
          <w:p w14:paraId="6CB0CB9B" w14:textId="0EE45886" w:rsidR="001F4D5B" w:rsidRPr="0084686B" w:rsidRDefault="001F4D5B" w:rsidP="00350725">
            <w:pPr>
              <w:widowControl w:val="0"/>
              <w:autoSpaceDE w:val="0"/>
              <w:autoSpaceDN w:val="0"/>
              <w:adjustRightInd w:val="0"/>
            </w:pPr>
            <w:proofErr w:type="spellStart"/>
            <w:r w:rsidRPr="0084686B">
              <w:t>IFWM</w:t>
            </w:r>
            <w:r w:rsidRPr="0084686B">
              <w:rPr>
                <w:vertAlign w:val="subscript"/>
              </w:rPr>
              <w:t>adj</w:t>
            </w:r>
            <w:proofErr w:type="spellEnd"/>
          </w:p>
        </w:tc>
        <w:tc>
          <w:tcPr>
            <w:tcW w:w="350" w:type="dxa"/>
          </w:tcPr>
          <w:p w14:paraId="557FF5EA" w14:textId="5705C61D" w:rsidR="001F4D5B" w:rsidRDefault="001F4D5B" w:rsidP="00350725">
            <w:pPr>
              <w:widowControl w:val="0"/>
              <w:autoSpaceDE w:val="0"/>
              <w:autoSpaceDN w:val="0"/>
              <w:adjustRightInd w:val="0"/>
            </w:pPr>
            <w:r w:rsidRPr="0084686B">
              <w:t>=</w:t>
            </w:r>
          </w:p>
        </w:tc>
        <w:tc>
          <w:tcPr>
            <w:tcW w:w="5588" w:type="dxa"/>
          </w:tcPr>
          <w:p w14:paraId="2909EE8C" w14:textId="3156A7A8" w:rsidR="001F4D5B" w:rsidRPr="0084686B" w:rsidRDefault="001F4D5B" w:rsidP="00350725">
            <w:pPr>
              <w:widowControl w:val="0"/>
              <w:autoSpaceDE w:val="0"/>
              <w:autoSpaceDN w:val="0"/>
              <w:adjustRightInd w:val="0"/>
            </w:pPr>
            <w:r w:rsidRPr="0084686B">
              <w:t>Age-Adjusted Mutagenic Drinking Water</w:t>
            </w:r>
            <w:r>
              <w:t xml:space="preserve"> </w:t>
            </w:r>
            <w:r w:rsidRPr="0084686B">
              <w:t>Ingestion Rate, equal to 1,019.0 liters per</w:t>
            </w:r>
            <w:r>
              <w:t xml:space="preserve"> </w:t>
            </w:r>
            <w:r w:rsidRPr="0084686B">
              <w:t>kilogram (L/kg)</w:t>
            </w:r>
          </w:p>
        </w:tc>
      </w:tr>
    </w:tbl>
    <w:p w14:paraId="3BCFB3C7" w14:textId="77777777" w:rsidR="005812FB" w:rsidRPr="0084686B" w:rsidRDefault="005812FB" w:rsidP="005812FB"/>
    <w:p w14:paraId="2A30B575" w14:textId="7081B592" w:rsidR="005812FB" w:rsidRPr="0084686B" w:rsidRDefault="005812FB" w:rsidP="005812FB">
      <w:pPr>
        <w:ind w:left="2160" w:hanging="720"/>
      </w:pPr>
      <w:r w:rsidRPr="0084686B">
        <w:t>2)</w:t>
      </w:r>
      <w:r w:rsidRPr="0084686B">
        <w:tab/>
      </w:r>
      <w:r w:rsidR="00B95559">
        <w:t xml:space="preserve">If USEPA has </w:t>
      </w:r>
      <w:r w:rsidRPr="0084686B">
        <w:t xml:space="preserve">not designated </w:t>
      </w:r>
      <w:r w:rsidR="00B95559">
        <w:t xml:space="preserve">a chemical </w:t>
      </w:r>
      <w:r w:rsidRPr="0084686B">
        <w:t xml:space="preserve">as </w:t>
      </w:r>
      <w:r w:rsidR="00B95559">
        <w:t xml:space="preserve">a </w:t>
      </w:r>
      <w:r w:rsidRPr="0084686B">
        <w:t>"mutagen"</w:t>
      </w:r>
      <w:r w:rsidR="001F2C9B">
        <w:t>,</w:t>
      </w:r>
      <w:r w:rsidRPr="0084686B">
        <w:t xml:space="preserve"> the </w:t>
      </w:r>
      <w:proofErr w:type="spellStart"/>
      <w:r w:rsidRPr="0084686B">
        <w:t>HNTAC</w:t>
      </w:r>
      <w:proofErr w:type="spellEnd"/>
      <w:r w:rsidR="003A4AA5">
        <w:t xml:space="preserve"> of the chemical</w:t>
      </w:r>
      <w:r w:rsidRPr="0084686B">
        <w:t xml:space="preserve"> is calculated as follows:</w:t>
      </w:r>
    </w:p>
    <w:p w14:paraId="23F24D68" w14:textId="21905A03" w:rsidR="005812FB" w:rsidRDefault="005812FB" w:rsidP="008A2E20"/>
    <w:p w14:paraId="39D9E6A7" w14:textId="72AB2E5E" w:rsidR="005812FB" w:rsidRPr="000A14FF" w:rsidRDefault="005812FB" w:rsidP="005812FB">
      <w:pPr>
        <w:ind w:left="1440"/>
      </w:pPr>
      <m:oMathPara>
        <m:oMathParaPr>
          <m:jc m:val="center"/>
        </m:oMathParaPr>
        <m:oMath>
          <m:r>
            <w:rPr>
              <w:rFonts w:ascii="Cambria Math" w:hAnsi="Cambria Math"/>
            </w:rPr>
            <m:t>HNTAC=</m:t>
          </m:r>
          <m:f>
            <m:fPr>
              <m:ctrlPr>
                <w:rPr>
                  <w:rFonts w:ascii="Cambria Math" w:hAnsi="Cambria Math"/>
                  <w:i/>
                </w:rPr>
              </m:ctrlPr>
            </m:fPr>
            <m:num>
              <m:r>
                <w:rPr>
                  <w:rFonts w:ascii="Cambria Math" w:hAnsi="Cambria Math"/>
                </w:rPr>
                <m:t>TR</m:t>
              </m:r>
              <m:r>
                <w:rPr>
                  <w:rFonts w:ascii="Cambria Math" w:hAnsi="Cambria Math" w:cs="Calibri"/>
                </w:rPr>
                <m:t>•</m:t>
              </m:r>
              <m:d>
                <m:dPr>
                  <m:ctrlPr>
                    <w:rPr>
                      <w:rFonts w:ascii="Cambria Math" w:hAnsi="Cambria Math"/>
                      <w:i/>
                    </w:rPr>
                  </m:ctrlPr>
                </m:dPr>
                <m:e>
                  <m:r>
                    <w:rPr>
                      <w:rFonts w:ascii="Cambria Math" w:hAnsi="Cambria Math"/>
                    </w:rPr>
                    <m:t>AT</m:t>
                  </m:r>
                  <m:r>
                    <w:rPr>
                      <w:rFonts w:ascii="Cambria Math" w:hAnsi="Cambria Math" w:cs="Calibri"/>
                    </w:rPr>
                    <m:t>•</m:t>
                  </m:r>
                  <m:r>
                    <w:rPr>
                      <w:rFonts w:ascii="Cambria Math" w:hAnsi="Cambria Math"/>
                    </w:rPr>
                    <m:t>365</m:t>
                  </m:r>
                  <m:f>
                    <m:fPr>
                      <m:ctrlPr>
                        <w:rPr>
                          <w:rFonts w:ascii="Cambria Math" w:hAnsi="Cambria Math"/>
                          <w:i/>
                        </w:rPr>
                      </m:ctrlPr>
                    </m:fPr>
                    <m:num>
                      <m:r>
                        <w:rPr>
                          <w:rFonts w:ascii="Cambria Math" w:hAnsi="Cambria Math"/>
                        </w:rPr>
                        <m:t>days</m:t>
                      </m:r>
                    </m:num>
                    <m:den>
                      <m:r>
                        <w:rPr>
                          <w:rFonts w:ascii="Cambria Math" w:hAnsi="Cambria Math"/>
                        </w:rPr>
                        <m:t>year</m:t>
                      </m:r>
                    </m:den>
                  </m:f>
                </m:e>
              </m:d>
            </m:num>
            <m:den>
              <m:sSub>
                <m:sSubPr>
                  <m:ctrlPr>
                    <w:rPr>
                      <w:rFonts w:ascii="Cambria Math" w:hAnsi="Cambria Math"/>
                      <w:i/>
                    </w:rPr>
                  </m:ctrlPr>
                </m:sSubPr>
                <m:e>
                  <m:r>
                    <w:rPr>
                      <w:rFonts w:ascii="Cambria Math" w:hAnsi="Cambria Math"/>
                    </w:rPr>
                    <m:t>SF</m:t>
                  </m:r>
                </m:e>
                <m:sub>
                  <m:r>
                    <w:rPr>
                      <w:rFonts w:ascii="Cambria Math" w:hAnsi="Cambria Math"/>
                    </w:rPr>
                    <m:t>o</m:t>
                  </m:r>
                </m:sub>
              </m:sSub>
              <m:r>
                <w:rPr>
                  <w:rFonts w:ascii="Cambria Math" w:hAnsi="Cambria Math" w:cs="Calibri"/>
                </w:rPr>
                <m:t>•</m:t>
              </m:r>
              <m:sSub>
                <m:sSubPr>
                  <m:ctrlPr>
                    <w:rPr>
                      <w:rFonts w:ascii="Cambria Math" w:hAnsi="Cambria Math"/>
                      <w:i/>
                    </w:rPr>
                  </m:ctrlPr>
                </m:sSubPr>
                <m:e>
                  <m:r>
                    <w:rPr>
                      <w:rFonts w:ascii="Cambria Math" w:hAnsi="Cambria Math"/>
                    </w:rPr>
                    <m:t>IFW</m:t>
                  </m:r>
                </m:e>
                <m:sub>
                  <m:r>
                    <w:rPr>
                      <w:rFonts w:ascii="Cambria Math" w:hAnsi="Cambria Math"/>
                    </w:rPr>
                    <m:t>adj</m:t>
                  </m:r>
                </m:sub>
              </m:sSub>
            </m:den>
          </m:f>
        </m:oMath>
      </m:oMathPara>
    </w:p>
    <w:p w14:paraId="7EBC0A37" w14:textId="77777777" w:rsidR="00D804A6" w:rsidRPr="0084686B" w:rsidRDefault="00D804A6" w:rsidP="008A2E20"/>
    <w:p w14:paraId="0EE0D146" w14:textId="2F592E3D" w:rsidR="00D804A6" w:rsidRDefault="00D804A6" w:rsidP="00D804A6">
      <w:pPr>
        <w:ind w:left="2160"/>
      </w:pPr>
      <w:r w:rsidRPr="0084686B">
        <w:t>Where:</w:t>
      </w:r>
    </w:p>
    <w:p w14:paraId="0B4FB760" w14:textId="77777777" w:rsidR="001F4D5B" w:rsidRPr="0084686B" w:rsidRDefault="001F4D5B" w:rsidP="008A2E20"/>
    <w:tbl>
      <w:tblPr>
        <w:tblW w:w="0" w:type="auto"/>
        <w:tblInd w:w="2385" w:type="dxa"/>
        <w:tblLook w:val="0000" w:firstRow="0" w:lastRow="0" w:firstColumn="0" w:lastColumn="0" w:noHBand="0" w:noVBand="0"/>
      </w:tblPr>
      <w:tblGrid>
        <w:gridCol w:w="1065"/>
        <w:gridCol w:w="352"/>
        <w:gridCol w:w="5586"/>
      </w:tblGrid>
      <w:tr w:rsidR="001F4D5B" w14:paraId="7C97C4C2" w14:textId="77777777" w:rsidTr="003C2D25">
        <w:trPr>
          <w:trHeight w:val="711"/>
        </w:trPr>
        <w:tc>
          <w:tcPr>
            <w:tcW w:w="858" w:type="dxa"/>
          </w:tcPr>
          <w:p w14:paraId="68A1B280" w14:textId="77777777" w:rsidR="001F4D5B" w:rsidRDefault="001F4D5B" w:rsidP="00350725">
            <w:pPr>
              <w:widowControl w:val="0"/>
              <w:autoSpaceDE w:val="0"/>
              <w:autoSpaceDN w:val="0"/>
              <w:adjustRightInd w:val="0"/>
            </w:pPr>
            <w:proofErr w:type="spellStart"/>
            <w:r w:rsidRPr="0084686B">
              <w:t>HNTAC</w:t>
            </w:r>
            <w:proofErr w:type="spellEnd"/>
          </w:p>
        </w:tc>
        <w:tc>
          <w:tcPr>
            <w:tcW w:w="352" w:type="dxa"/>
          </w:tcPr>
          <w:p w14:paraId="1E49D436" w14:textId="77777777" w:rsidR="001F4D5B" w:rsidRDefault="001F4D5B" w:rsidP="00350725">
            <w:pPr>
              <w:widowControl w:val="0"/>
              <w:autoSpaceDE w:val="0"/>
              <w:autoSpaceDN w:val="0"/>
              <w:adjustRightInd w:val="0"/>
            </w:pPr>
            <w:r>
              <w:t>=</w:t>
            </w:r>
          </w:p>
        </w:tc>
        <w:tc>
          <w:tcPr>
            <w:tcW w:w="5586" w:type="dxa"/>
          </w:tcPr>
          <w:p w14:paraId="115ECAD3" w14:textId="77777777" w:rsidR="001F4D5B" w:rsidRDefault="001F4D5B" w:rsidP="00350725">
            <w:pPr>
              <w:widowControl w:val="0"/>
              <w:autoSpaceDE w:val="0"/>
              <w:autoSpaceDN w:val="0"/>
              <w:adjustRightInd w:val="0"/>
            </w:pPr>
            <w:r w:rsidRPr="0084686B">
              <w:t xml:space="preserve">Human </w:t>
            </w:r>
            <w:proofErr w:type="spellStart"/>
            <w:r w:rsidRPr="0084686B">
              <w:t>Nonthreshold</w:t>
            </w:r>
            <w:proofErr w:type="spellEnd"/>
            <w:r w:rsidRPr="0084686B">
              <w:t xml:space="preserve"> Toxicant Advisory</w:t>
            </w:r>
            <w:r>
              <w:t xml:space="preserve"> </w:t>
            </w:r>
            <w:r w:rsidRPr="0084686B">
              <w:t>Concentration, equal to milligrams per liter</w:t>
            </w:r>
            <w:r>
              <w:t xml:space="preserve"> </w:t>
            </w:r>
            <w:r w:rsidRPr="0084686B">
              <w:t>(mg/L)</w:t>
            </w:r>
          </w:p>
        </w:tc>
      </w:tr>
      <w:tr w:rsidR="001F4D5B" w14:paraId="4DC2688E" w14:textId="77777777" w:rsidTr="003C2D25">
        <w:trPr>
          <w:trHeight w:val="720"/>
        </w:trPr>
        <w:tc>
          <w:tcPr>
            <w:tcW w:w="858" w:type="dxa"/>
          </w:tcPr>
          <w:p w14:paraId="65644AF3" w14:textId="77777777" w:rsidR="001F4D5B" w:rsidRDefault="001F4D5B" w:rsidP="00350725">
            <w:pPr>
              <w:widowControl w:val="0"/>
              <w:autoSpaceDE w:val="0"/>
              <w:autoSpaceDN w:val="0"/>
              <w:adjustRightInd w:val="0"/>
            </w:pPr>
            <w:r w:rsidRPr="0084686B">
              <w:t>TR</w:t>
            </w:r>
          </w:p>
        </w:tc>
        <w:tc>
          <w:tcPr>
            <w:tcW w:w="352" w:type="dxa"/>
          </w:tcPr>
          <w:p w14:paraId="539C2B83" w14:textId="77777777" w:rsidR="001F4D5B" w:rsidRDefault="001F4D5B" w:rsidP="00350725">
            <w:pPr>
              <w:widowControl w:val="0"/>
              <w:autoSpaceDE w:val="0"/>
              <w:autoSpaceDN w:val="0"/>
              <w:adjustRightInd w:val="0"/>
            </w:pPr>
            <w:r>
              <w:t>=</w:t>
            </w:r>
          </w:p>
        </w:tc>
        <w:tc>
          <w:tcPr>
            <w:tcW w:w="5586" w:type="dxa"/>
          </w:tcPr>
          <w:p w14:paraId="293E1543" w14:textId="77777777" w:rsidR="001F4D5B" w:rsidRDefault="001F4D5B" w:rsidP="00350725">
            <w:pPr>
              <w:widowControl w:val="0"/>
              <w:autoSpaceDE w:val="0"/>
              <w:autoSpaceDN w:val="0"/>
              <w:adjustRightInd w:val="0"/>
            </w:pPr>
            <w:r w:rsidRPr="0084686B">
              <w:t>Target Cancer Risk, equal to one-in-one</w:t>
            </w:r>
            <w:r>
              <w:t xml:space="preserve"> </w:t>
            </w:r>
            <w:r w:rsidRPr="0084686B">
              <w:t>million cancer risk (</w:t>
            </w:r>
            <w:proofErr w:type="spellStart"/>
            <w:r w:rsidRPr="0084686B">
              <w:t>1E</w:t>
            </w:r>
            <w:proofErr w:type="spellEnd"/>
            <w:r w:rsidRPr="0084686B">
              <w:t>-06)</w:t>
            </w:r>
          </w:p>
        </w:tc>
      </w:tr>
      <w:tr w:rsidR="001F4D5B" w14:paraId="08772C4D" w14:textId="77777777" w:rsidTr="003C2D25">
        <w:trPr>
          <w:trHeight w:val="486"/>
        </w:trPr>
        <w:tc>
          <w:tcPr>
            <w:tcW w:w="858" w:type="dxa"/>
          </w:tcPr>
          <w:p w14:paraId="3631F8C9" w14:textId="77777777" w:rsidR="001F4D5B" w:rsidRDefault="001F4D5B" w:rsidP="00350725">
            <w:pPr>
              <w:widowControl w:val="0"/>
              <w:autoSpaceDE w:val="0"/>
              <w:autoSpaceDN w:val="0"/>
              <w:adjustRightInd w:val="0"/>
            </w:pPr>
            <w:r w:rsidRPr="0084686B">
              <w:t>AT</w:t>
            </w:r>
          </w:p>
        </w:tc>
        <w:tc>
          <w:tcPr>
            <w:tcW w:w="352" w:type="dxa"/>
          </w:tcPr>
          <w:p w14:paraId="362211C2" w14:textId="77777777" w:rsidR="001F4D5B" w:rsidRDefault="001F4D5B" w:rsidP="00350725">
            <w:pPr>
              <w:widowControl w:val="0"/>
              <w:autoSpaceDE w:val="0"/>
              <w:autoSpaceDN w:val="0"/>
              <w:adjustRightInd w:val="0"/>
            </w:pPr>
            <w:r>
              <w:t>=</w:t>
            </w:r>
          </w:p>
        </w:tc>
        <w:tc>
          <w:tcPr>
            <w:tcW w:w="5586" w:type="dxa"/>
          </w:tcPr>
          <w:p w14:paraId="5410180A" w14:textId="77777777" w:rsidR="001F4D5B" w:rsidRDefault="001F4D5B" w:rsidP="00350725">
            <w:pPr>
              <w:widowControl w:val="0"/>
              <w:autoSpaceDE w:val="0"/>
              <w:autoSpaceDN w:val="0"/>
              <w:adjustRightInd w:val="0"/>
            </w:pPr>
            <w:r w:rsidRPr="0084686B">
              <w:t>Averaging Time, equal to 70 years</w:t>
            </w:r>
          </w:p>
        </w:tc>
      </w:tr>
      <w:tr w:rsidR="001F4D5B" w14:paraId="7A1E6FBB" w14:textId="77777777" w:rsidTr="003C2D25">
        <w:trPr>
          <w:trHeight w:val="720"/>
        </w:trPr>
        <w:tc>
          <w:tcPr>
            <w:tcW w:w="858" w:type="dxa"/>
          </w:tcPr>
          <w:p w14:paraId="5EEB3254" w14:textId="77777777" w:rsidR="001F4D5B" w:rsidRDefault="001F4D5B" w:rsidP="00350725">
            <w:pPr>
              <w:widowControl w:val="0"/>
              <w:autoSpaceDE w:val="0"/>
              <w:autoSpaceDN w:val="0"/>
              <w:adjustRightInd w:val="0"/>
            </w:pPr>
            <w:proofErr w:type="spellStart"/>
            <w:r w:rsidRPr="0084686B">
              <w:t>SF</w:t>
            </w:r>
            <w:r w:rsidRPr="0084686B">
              <w:rPr>
                <w:vertAlign w:val="subscript"/>
              </w:rPr>
              <w:t>o</w:t>
            </w:r>
            <w:proofErr w:type="spellEnd"/>
          </w:p>
        </w:tc>
        <w:tc>
          <w:tcPr>
            <w:tcW w:w="352" w:type="dxa"/>
          </w:tcPr>
          <w:p w14:paraId="7FF6AEBB" w14:textId="77777777" w:rsidR="001F4D5B" w:rsidRDefault="001F4D5B" w:rsidP="00350725">
            <w:pPr>
              <w:widowControl w:val="0"/>
              <w:autoSpaceDE w:val="0"/>
              <w:autoSpaceDN w:val="0"/>
              <w:adjustRightInd w:val="0"/>
            </w:pPr>
            <w:r>
              <w:t>=</w:t>
            </w:r>
          </w:p>
        </w:tc>
        <w:tc>
          <w:tcPr>
            <w:tcW w:w="5586" w:type="dxa"/>
          </w:tcPr>
          <w:p w14:paraId="359A438E" w14:textId="77777777" w:rsidR="001F4D5B" w:rsidRDefault="001F4D5B" w:rsidP="00350725">
            <w:pPr>
              <w:widowControl w:val="0"/>
              <w:autoSpaceDE w:val="0"/>
              <w:autoSpaceDN w:val="0"/>
              <w:adjustRightInd w:val="0"/>
            </w:pPr>
            <w:r w:rsidRPr="0084686B">
              <w:t>Oral Slope Factor (chemical-specific), equal</w:t>
            </w:r>
            <w:r>
              <w:t xml:space="preserve"> </w:t>
            </w:r>
            <w:r w:rsidRPr="0084686B">
              <w:t>to (mg/kg-day)</w:t>
            </w:r>
            <w:r w:rsidRPr="0084686B">
              <w:rPr>
                <w:vertAlign w:val="superscript"/>
              </w:rPr>
              <w:t>-1</w:t>
            </w:r>
          </w:p>
        </w:tc>
      </w:tr>
      <w:tr w:rsidR="001F4D5B" w14:paraId="6D769788" w14:textId="77777777" w:rsidTr="003C2D25">
        <w:trPr>
          <w:trHeight w:val="720"/>
        </w:trPr>
        <w:tc>
          <w:tcPr>
            <w:tcW w:w="858" w:type="dxa"/>
          </w:tcPr>
          <w:p w14:paraId="7CB14E45" w14:textId="77777777" w:rsidR="001F4D5B" w:rsidRPr="0084686B" w:rsidRDefault="001F4D5B" w:rsidP="00350725">
            <w:pPr>
              <w:widowControl w:val="0"/>
              <w:autoSpaceDE w:val="0"/>
              <w:autoSpaceDN w:val="0"/>
              <w:adjustRightInd w:val="0"/>
            </w:pPr>
            <w:proofErr w:type="spellStart"/>
            <w:r w:rsidRPr="0084686B">
              <w:t>IFWM</w:t>
            </w:r>
            <w:r w:rsidRPr="0084686B">
              <w:rPr>
                <w:vertAlign w:val="subscript"/>
              </w:rPr>
              <w:t>adj</w:t>
            </w:r>
            <w:proofErr w:type="spellEnd"/>
          </w:p>
        </w:tc>
        <w:tc>
          <w:tcPr>
            <w:tcW w:w="352" w:type="dxa"/>
          </w:tcPr>
          <w:p w14:paraId="3914984A" w14:textId="77777777" w:rsidR="001F4D5B" w:rsidRDefault="001F4D5B" w:rsidP="00350725">
            <w:pPr>
              <w:widowControl w:val="0"/>
              <w:autoSpaceDE w:val="0"/>
              <w:autoSpaceDN w:val="0"/>
              <w:adjustRightInd w:val="0"/>
            </w:pPr>
            <w:r w:rsidRPr="0084686B">
              <w:t>=</w:t>
            </w:r>
          </w:p>
        </w:tc>
        <w:tc>
          <w:tcPr>
            <w:tcW w:w="5586" w:type="dxa"/>
          </w:tcPr>
          <w:p w14:paraId="66232606" w14:textId="17F18850" w:rsidR="001F4D5B" w:rsidRPr="0084686B" w:rsidRDefault="001F4D5B" w:rsidP="00350725">
            <w:pPr>
              <w:widowControl w:val="0"/>
              <w:autoSpaceDE w:val="0"/>
              <w:autoSpaceDN w:val="0"/>
              <w:adjustRightInd w:val="0"/>
            </w:pPr>
            <w:r w:rsidRPr="0084686B">
              <w:t>Age-Adjusted Mutagenic Drinking Water</w:t>
            </w:r>
            <w:r>
              <w:t xml:space="preserve"> </w:t>
            </w:r>
            <w:r w:rsidRPr="0084686B">
              <w:t>Ingestion Rate, equal to 327.95 liters per</w:t>
            </w:r>
            <w:r>
              <w:t xml:space="preserve"> </w:t>
            </w:r>
            <w:r w:rsidRPr="0084686B">
              <w:t>kilogram (L/kg)</w:t>
            </w:r>
          </w:p>
        </w:tc>
      </w:tr>
    </w:tbl>
    <w:p w14:paraId="3EEF55D1" w14:textId="77777777" w:rsidR="00D804A6" w:rsidRDefault="00D804A6" w:rsidP="008A2E20">
      <w:pPr>
        <w:widowControl w:val="0"/>
        <w:autoSpaceDE w:val="0"/>
        <w:autoSpaceDN w:val="0"/>
        <w:adjustRightInd w:val="0"/>
      </w:pPr>
    </w:p>
    <w:p w14:paraId="5D702C1D" w14:textId="58B2C4E1" w:rsidR="00504F2B" w:rsidRPr="00D55B37" w:rsidRDefault="00D804A6">
      <w:pPr>
        <w:pStyle w:val="JCARSourceNote"/>
        <w:ind w:left="720"/>
      </w:pPr>
      <w:r w:rsidRPr="00524821">
        <w:lastRenderedPageBreak/>
        <w:t>(Source:  Amended at 4</w:t>
      </w:r>
      <w:r w:rsidR="003A4AA5">
        <w:t>9</w:t>
      </w:r>
      <w:r w:rsidRPr="00524821">
        <w:t xml:space="preserve"> Ill. Reg. </w:t>
      </w:r>
      <w:r w:rsidR="00EF13C9">
        <w:t>4488</w:t>
      </w:r>
      <w:r w:rsidRPr="00524821">
        <w:t xml:space="preserve">, effective </w:t>
      </w:r>
      <w:r w:rsidR="00EF13C9">
        <w:t>March 28, 2025</w:t>
      </w:r>
      <w:r w:rsidRPr="00524821">
        <w:t>)</w:t>
      </w:r>
    </w:p>
    <w:sectPr w:rsidR="00504F2B" w:rsidRPr="00D55B37" w:rsidSect="00504F2B">
      <w:type w:val="oddPag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0500"/>
    <w:rsid w:val="00000AC6"/>
    <w:rsid w:val="000267CF"/>
    <w:rsid w:val="0008007B"/>
    <w:rsid w:val="000A14FF"/>
    <w:rsid w:val="00124C51"/>
    <w:rsid w:val="00140F58"/>
    <w:rsid w:val="00185530"/>
    <w:rsid w:val="001F2C9B"/>
    <w:rsid w:val="001F4D5B"/>
    <w:rsid w:val="00394B81"/>
    <w:rsid w:val="003A4AA5"/>
    <w:rsid w:val="003C2D25"/>
    <w:rsid w:val="004554A6"/>
    <w:rsid w:val="004C04F8"/>
    <w:rsid w:val="004C752A"/>
    <w:rsid w:val="00504F2B"/>
    <w:rsid w:val="00541797"/>
    <w:rsid w:val="005812FB"/>
    <w:rsid w:val="005A18A3"/>
    <w:rsid w:val="005C3366"/>
    <w:rsid w:val="006058DC"/>
    <w:rsid w:val="00702E98"/>
    <w:rsid w:val="00724527"/>
    <w:rsid w:val="00840500"/>
    <w:rsid w:val="0084686B"/>
    <w:rsid w:val="00885AE8"/>
    <w:rsid w:val="008A2E20"/>
    <w:rsid w:val="008A5639"/>
    <w:rsid w:val="008C6919"/>
    <w:rsid w:val="009F5F3E"/>
    <w:rsid w:val="00A30B6E"/>
    <w:rsid w:val="00AE008E"/>
    <w:rsid w:val="00AF5AEE"/>
    <w:rsid w:val="00B95559"/>
    <w:rsid w:val="00BF45E9"/>
    <w:rsid w:val="00C13A0B"/>
    <w:rsid w:val="00D804A6"/>
    <w:rsid w:val="00E230D1"/>
    <w:rsid w:val="00EF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D67DB4"/>
  <w15:docId w15:val="{C23CDBFA-9E33-4480-82C2-B6FA8DF9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4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9</cp:revision>
  <dcterms:created xsi:type="dcterms:W3CDTF">2025-03-10T16:17:00Z</dcterms:created>
  <dcterms:modified xsi:type="dcterms:W3CDTF">2026-02-11T17:43:00Z</dcterms:modified>
</cp:coreProperties>
</file>