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607F" w14:textId="77777777" w:rsidR="00A76C23" w:rsidRDefault="00A76C23" w:rsidP="00A76C23">
      <w:pPr>
        <w:widowControl w:val="0"/>
        <w:autoSpaceDE w:val="0"/>
        <w:autoSpaceDN w:val="0"/>
        <w:adjustRightInd w:val="0"/>
      </w:pPr>
    </w:p>
    <w:p w14:paraId="19DD976B" w14:textId="77777777" w:rsidR="00A76C23" w:rsidRDefault="00A76C23" w:rsidP="00A76C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617.125  Recharge</w:t>
      </w:r>
      <w:proofErr w:type="gramEnd"/>
      <w:r>
        <w:rPr>
          <w:b/>
          <w:bCs/>
        </w:rPr>
        <w:t xml:space="preserve"> Area Suitability Assessment</w:t>
      </w:r>
      <w:r>
        <w:t xml:space="preserve"> </w:t>
      </w:r>
    </w:p>
    <w:p w14:paraId="6506AEF3" w14:textId="77777777" w:rsidR="00A76C23" w:rsidRDefault="00A76C23" w:rsidP="00A76C23">
      <w:pPr>
        <w:widowControl w:val="0"/>
        <w:autoSpaceDE w:val="0"/>
        <w:autoSpaceDN w:val="0"/>
        <w:adjustRightInd w:val="0"/>
      </w:pPr>
    </w:p>
    <w:p w14:paraId="4C727A44" w14:textId="547CA21A" w:rsidR="00A76C23" w:rsidRDefault="00A76C23" w:rsidP="00A76C23">
      <w:pPr>
        <w:widowControl w:val="0"/>
        <w:autoSpaceDE w:val="0"/>
        <w:autoSpaceDN w:val="0"/>
        <w:adjustRightInd w:val="0"/>
      </w:pPr>
      <w:r>
        <w:t xml:space="preserve">The purpose of the recharge area suitability assessment process is to assess potential environmental impacts that a new facility would have within a regulated recharge area and assure that appropriate measures to protect against possible contamination will be included in the operation of the facility. </w:t>
      </w:r>
    </w:p>
    <w:p w14:paraId="5EC9624F" w14:textId="77777777" w:rsidR="008916D4" w:rsidRDefault="008916D4" w:rsidP="00A76C23">
      <w:pPr>
        <w:widowControl w:val="0"/>
        <w:autoSpaceDE w:val="0"/>
        <w:autoSpaceDN w:val="0"/>
        <w:adjustRightInd w:val="0"/>
      </w:pPr>
    </w:p>
    <w:p w14:paraId="6ECD6835" w14:textId="5A06A1EF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owners or operators of new major potential sources located wholly or partially within a delineated regulated recharge area </w:t>
      </w:r>
      <w:r w:rsidR="00547238" w:rsidRPr="00EF3D09">
        <w:t xml:space="preserve">must </w:t>
      </w:r>
      <w:r w:rsidR="00555BE9">
        <w:t xml:space="preserve">file </w:t>
      </w:r>
      <w:r w:rsidR="00547238" w:rsidRPr="00EF3D09">
        <w:t xml:space="preserve">a recharge area suitability assessment </w:t>
      </w:r>
      <w:r w:rsidR="00555BE9">
        <w:t xml:space="preserve">with </w:t>
      </w:r>
      <w:r w:rsidR="00547238" w:rsidRPr="00EF3D09">
        <w:t>the Agency before</w:t>
      </w:r>
      <w:r w:rsidR="00555BE9">
        <w:t xml:space="preserve"> </w:t>
      </w:r>
      <w:r w:rsidR="00AC6212">
        <w:t xml:space="preserve">the </w:t>
      </w:r>
      <w:r w:rsidR="00555BE9">
        <w:t>commencement</w:t>
      </w:r>
      <w:r w:rsidR="00547238" w:rsidRPr="00EF3D09">
        <w:t xml:space="preserve"> </w:t>
      </w:r>
      <w:r w:rsidR="00AC6212">
        <w:t>of</w:t>
      </w:r>
      <w:r>
        <w:t xml:space="preserve"> construction, except for livestock operations that meet the criteria in 35 Ill. Adm. Code 501.404(e) or except as provided in subsection</w:t>
      </w:r>
      <w:r w:rsidR="002700A7">
        <w:t xml:space="preserve"> (b)</w:t>
      </w:r>
      <w:r>
        <w:t xml:space="preserve">. </w:t>
      </w:r>
    </w:p>
    <w:p w14:paraId="5923AE97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48EDC214" w14:textId="586852B6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any livestock waste handling facility subject to the Livestock Management Facilities Act [510 </w:t>
      </w:r>
      <w:proofErr w:type="spellStart"/>
      <w:r>
        <w:t>ILCS</w:t>
      </w:r>
      <w:proofErr w:type="spellEnd"/>
      <w:r>
        <w:t xml:space="preserve"> 77], the requirement in subsection (a) for filing a recharge area suitability assessment is only applicable to </w:t>
      </w:r>
      <w:r w:rsidR="00555BE9">
        <w:t>the</w:t>
      </w:r>
      <w:r>
        <w:t xml:space="preserve"> facility after filing a notice of intent, or a complete registration if the facility is designed to handle the waste from a </w:t>
      </w:r>
      <w:r w:rsidR="00555BE9">
        <w:t>300-animal</w:t>
      </w:r>
      <w:r>
        <w:t xml:space="preserve"> unit or larger operation, and: </w:t>
      </w:r>
    </w:p>
    <w:p w14:paraId="643B5055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5285A944" w14:textId="3539FDD0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public informational meeting </w:t>
      </w:r>
      <w:r w:rsidR="00547238">
        <w:t>unde</w:t>
      </w:r>
      <w:r w:rsidR="00EF3D09">
        <w:t>r</w:t>
      </w:r>
      <w:r>
        <w:t xml:space="preserve"> Section 12 of the Livestock Management Facilities Act is not requested; or </w:t>
      </w:r>
    </w:p>
    <w:p w14:paraId="6CBB6E1E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6D7C5B9F" w14:textId="5FB5BC43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provisions for a public informational meeting </w:t>
      </w:r>
      <w:r w:rsidR="00555BE9">
        <w:t>do not apply</w:t>
      </w:r>
      <w:r>
        <w:t xml:space="preserve"> to </w:t>
      </w:r>
      <w:r w:rsidR="00555BE9">
        <w:t>the</w:t>
      </w:r>
      <w:r>
        <w:t xml:space="preserve"> facility. </w:t>
      </w:r>
    </w:p>
    <w:p w14:paraId="56D3E429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19E4ED69" w14:textId="5A043B1E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recharge area suitability assessment must include the following: </w:t>
      </w:r>
    </w:p>
    <w:p w14:paraId="7E7499ED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5A420F8F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legal description of the site and location maps including: </w:t>
      </w:r>
    </w:p>
    <w:p w14:paraId="335BC188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621C5D6A" w14:textId="4C7A8EE9" w:rsidR="00A76C23" w:rsidRDefault="00A76C23" w:rsidP="00A76C2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topographic map of the site drawn to </w:t>
      </w:r>
      <w:r w:rsidR="00555BE9">
        <w:t xml:space="preserve">a </w:t>
      </w:r>
      <w:r>
        <w:t xml:space="preserve">scale of 200 feet to the inch or larger with a contour interval of less than 50 feet; </w:t>
      </w:r>
    </w:p>
    <w:p w14:paraId="753891A2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1637E3CC" w14:textId="77777777" w:rsidR="00A76C23" w:rsidRDefault="00A76C23" w:rsidP="00A76C2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area map that shows the approximate distance of the unit at a facility or site from the nearest potable water supply well or sinkhole; and </w:t>
      </w:r>
    </w:p>
    <w:p w14:paraId="792ACAF8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9B97F55" w14:textId="77777777" w:rsidR="00A76C23" w:rsidRDefault="00A76C23" w:rsidP="00A76C2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area map that identifies all land uses within 1 mile of the site; </w:t>
      </w:r>
    </w:p>
    <w:p w14:paraId="5C56C7CE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083C0148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soil survey data for the site; </w:t>
      </w:r>
    </w:p>
    <w:p w14:paraId="0109D9A9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1EFEC34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explanation of the proposed operation and any protection controls or measures; </w:t>
      </w:r>
    </w:p>
    <w:p w14:paraId="1C456F7F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2ED309AB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any management systems that will be utilized to prevent environmental contamination; and </w:t>
      </w:r>
    </w:p>
    <w:p w14:paraId="7126B73D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550A25B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analysis of the potential environmental impacts that could occur due to the operation of the facility and any mitigating measures that will be implemented. </w:t>
      </w:r>
    </w:p>
    <w:p w14:paraId="31717F5C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6A2FC177" w14:textId="6F5CD380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</w:t>
      </w:r>
      <w:r w:rsidR="00555BE9">
        <w:t>seven</w:t>
      </w:r>
      <w:r>
        <w:t xml:space="preserve"> days after filing the suitability assessment, the owner or operator must: </w:t>
      </w:r>
    </w:p>
    <w:p w14:paraId="451DD24A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2419357B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all adjacent property owners of the filing; and </w:t>
      </w:r>
    </w:p>
    <w:p w14:paraId="762565EE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13C448C9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publish a public notice regarding the filing of the assessment in a newspaper whose circulation covers the affected area. </w:t>
      </w:r>
    </w:p>
    <w:p w14:paraId="6C28FB18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B35AAC5" w14:textId="77777777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Within 45 days after the filing of an assessment, any person may: </w:t>
      </w:r>
    </w:p>
    <w:p w14:paraId="54E54CDD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BC29984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 copies of the assessment from the Agency; and </w:t>
      </w:r>
    </w:p>
    <w:p w14:paraId="738857FC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50A44247" w14:textId="572ABB0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request that </w:t>
      </w:r>
      <w:r w:rsidR="00555BE9">
        <w:t xml:space="preserve">the Agency hold </w:t>
      </w:r>
      <w:r>
        <w:t xml:space="preserve">a public hearing at a location in the vicinity of the proposed facility. </w:t>
      </w:r>
    </w:p>
    <w:p w14:paraId="488F6EA4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4194630B" w14:textId="560A3BDD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Agency must hold the public hearing </w:t>
      </w:r>
      <w:r w:rsidR="00547238">
        <w:t>within</w:t>
      </w:r>
      <w:r>
        <w:t xml:space="preserve"> 45 days after </w:t>
      </w:r>
      <w:r w:rsidR="00555BE9">
        <w:t>receiving</w:t>
      </w:r>
      <w:r>
        <w:t xml:space="preserve"> the written </w:t>
      </w:r>
      <w:r w:rsidR="00555BE9">
        <w:t>request under</w:t>
      </w:r>
      <w:r>
        <w:t xml:space="preserve"> subsection (e)(2). </w:t>
      </w:r>
    </w:p>
    <w:p w14:paraId="74A87230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D31896E" w14:textId="6E1DA8F1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Agency must provide 21</w:t>
      </w:r>
      <w:r w:rsidR="00555BE9">
        <w:t xml:space="preserve"> days'</w:t>
      </w:r>
      <w:r>
        <w:t xml:space="preserve"> public notice </w:t>
      </w:r>
      <w:r w:rsidR="00555BE9">
        <w:t>before</w:t>
      </w:r>
      <w:r>
        <w:t xml:space="preserve"> a public hearing. </w:t>
      </w:r>
    </w:p>
    <w:p w14:paraId="707233AC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68355148" w14:textId="77777777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Within 90 days after the filing of an assessment or within 120 days after a hearing, the Agency must issue a written statement with one of the following determinations: </w:t>
      </w:r>
    </w:p>
    <w:p w14:paraId="607C247A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159036B0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assessment demonstrates the potential environmental impacts that a facility would have within the recharge area and includes the appropriate measures to protect against possible contamination; </w:t>
      </w:r>
    </w:p>
    <w:p w14:paraId="588EB3A9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758F3D4C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assessment does not demonstrate the potential environmental impacts that a facility would have within the recharge area and does not include the appropriate measures to protect against possible contamination; or </w:t>
      </w:r>
    </w:p>
    <w:p w14:paraId="132F83D3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20E0E8D5" w14:textId="77777777" w:rsidR="00A76C23" w:rsidRDefault="00A76C23" w:rsidP="00A76C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assessment must be modified to address any impacts that the facility will have on the groundwater within the area. </w:t>
      </w:r>
    </w:p>
    <w:p w14:paraId="6F50E92D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0E0E4D3A" w14:textId="02D2B62E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547238" w:rsidRPr="00EF3D09">
        <w:t>Within 30 days after receiving the Agency's written statement under subsection (h)(</w:t>
      </w:r>
      <w:r w:rsidR="00555BE9">
        <w:t>2</w:t>
      </w:r>
      <w:r w:rsidR="00547238" w:rsidRPr="00EF3D09">
        <w:t>) or (h)(</w:t>
      </w:r>
      <w:r w:rsidR="008D4C67">
        <w:t>3</w:t>
      </w:r>
      <w:r w:rsidR="00547238" w:rsidRPr="00EF3D09">
        <w:t>), the</w:t>
      </w:r>
      <w:r>
        <w:t xml:space="preserve"> owner or operator of the facility may respond to </w:t>
      </w:r>
      <w:r w:rsidR="00547238">
        <w:t>the</w:t>
      </w:r>
      <w:r>
        <w:t xml:space="preserve"> statement. </w:t>
      </w:r>
    </w:p>
    <w:p w14:paraId="55B55082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27DE6C09" w14:textId="5E8B5DE6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EF3D09">
        <w:t>Within</w:t>
      </w:r>
      <w:r>
        <w:t xml:space="preserve"> 30 days after </w:t>
      </w:r>
      <w:r w:rsidR="008D4C67">
        <w:t>receiving</w:t>
      </w:r>
      <w:r>
        <w:t xml:space="preserve"> a response </w:t>
      </w:r>
      <w:r w:rsidR="008D4C67">
        <w:t>under subsection (</w:t>
      </w:r>
      <w:proofErr w:type="spellStart"/>
      <w:r w:rsidR="00AC6212">
        <w:t>i</w:t>
      </w:r>
      <w:proofErr w:type="spellEnd"/>
      <w:r w:rsidR="008D4C67">
        <w:t xml:space="preserve">) </w:t>
      </w:r>
      <w:r>
        <w:t xml:space="preserve">from the owner or operator of the facility, the Agency must issue a final statement regarding the assessment. If no response is received by the Agency within the </w:t>
      </w:r>
      <w:r w:rsidR="008D4C67">
        <w:t>30-day</w:t>
      </w:r>
      <w:r>
        <w:t xml:space="preserve"> period</w:t>
      </w:r>
      <w:r w:rsidR="008D4C67">
        <w:t xml:space="preserve"> of </w:t>
      </w:r>
      <w:r w:rsidR="008D4C67">
        <w:lastRenderedPageBreak/>
        <w:t>subsection (</w:t>
      </w:r>
      <w:proofErr w:type="spellStart"/>
      <w:r w:rsidR="008D4C67">
        <w:t>i</w:t>
      </w:r>
      <w:proofErr w:type="spellEnd"/>
      <w:r w:rsidR="008D4C67">
        <w:t>)</w:t>
      </w:r>
      <w:r>
        <w:t xml:space="preserve">, no further </w:t>
      </w:r>
      <w:r w:rsidR="008D4C67">
        <w:t xml:space="preserve">Agency </w:t>
      </w:r>
      <w:r>
        <w:t xml:space="preserve">action is necessary and the statement </w:t>
      </w:r>
      <w:r w:rsidR="008D4C67">
        <w:t xml:space="preserve">issued under subsection (h) </w:t>
      </w:r>
      <w:r>
        <w:t xml:space="preserve">stands as </w:t>
      </w:r>
      <w:r w:rsidR="008D4C67">
        <w:t>the Agency</w:t>
      </w:r>
      <w:r w:rsidR="00AC6212">
        <w:t>'s</w:t>
      </w:r>
      <w:r w:rsidR="008D4C67">
        <w:t xml:space="preserve"> final statement</w:t>
      </w:r>
      <w:r>
        <w:t xml:space="preserve">. </w:t>
      </w:r>
    </w:p>
    <w:p w14:paraId="1AE362D3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2052EC0E" w14:textId="47638900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Operation of the facility may </w:t>
      </w:r>
      <w:r w:rsidR="008D4C67">
        <w:t xml:space="preserve">start </w:t>
      </w:r>
      <w:r>
        <w:t>only after</w:t>
      </w:r>
      <w:r w:rsidR="008D4C67">
        <w:t xml:space="preserve"> the Agency</w:t>
      </w:r>
      <w:r>
        <w:t xml:space="preserve"> </w:t>
      </w:r>
      <w:r w:rsidR="008D4C67">
        <w:t>issues</w:t>
      </w:r>
      <w:r>
        <w:t xml:space="preserve"> a final statement. </w:t>
      </w:r>
    </w:p>
    <w:p w14:paraId="28369FCB" w14:textId="77777777" w:rsidR="008916D4" w:rsidRDefault="008916D4" w:rsidP="004715AD">
      <w:pPr>
        <w:widowControl w:val="0"/>
        <w:autoSpaceDE w:val="0"/>
        <w:autoSpaceDN w:val="0"/>
        <w:adjustRightInd w:val="0"/>
      </w:pPr>
    </w:p>
    <w:p w14:paraId="529CE5E4" w14:textId="546E4346" w:rsidR="00A76C23" w:rsidRDefault="00A76C23" w:rsidP="00A76C2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applicant may appeal the Agency's final statement to the Board by filing a petition </w:t>
      </w:r>
      <w:r w:rsidR="00BD3890">
        <w:t>within 35 days</w:t>
      </w:r>
      <w:r>
        <w:t xml:space="preserve"> after </w:t>
      </w:r>
      <w:r w:rsidR="00BD3890">
        <w:t xml:space="preserve">receiving </w:t>
      </w:r>
      <w:r>
        <w:t xml:space="preserve">the </w:t>
      </w:r>
      <w:r w:rsidR="00EF3D09" w:rsidRPr="004E3EA0">
        <w:t>statement</w:t>
      </w:r>
      <w:r>
        <w:t xml:space="preserve">.  The petition must be filed, and the proceedings conducted, </w:t>
      </w:r>
      <w:r w:rsidR="00EF3D09">
        <w:t>under</w:t>
      </w:r>
      <w:r>
        <w:t xml:space="preserve"> the procedures in 35 Ill. Adm. Code 105. </w:t>
      </w:r>
    </w:p>
    <w:p w14:paraId="682C500A" w14:textId="77777777" w:rsidR="00EF3D09" w:rsidRDefault="00EF3D09" w:rsidP="004715AD"/>
    <w:p w14:paraId="07078546" w14:textId="699CE210" w:rsidR="00EF3D09" w:rsidRPr="00B03248" w:rsidRDefault="00EF3D09" w:rsidP="00EF3D09">
      <w:pPr>
        <w:ind w:left="720"/>
      </w:pPr>
      <w:r w:rsidRPr="00B03248">
        <w:t>(Source:  Amended at 4</w:t>
      </w:r>
      <w:r w:rsidR="00BD3890">
        <w:t>7</w:t>
      </w:r>
      <w:r w:rsidRPr="00B03248">
        <w:t xml:space="preserve"> Ill. Reg. </w:t>
      </w:r>
      <w:r w:rsidR="00646882">
        <w:t>7681</w:t>
      </w:r>
      <w:r w:rsidRPr="00B03248">
        <w:t xml:space="preserve">, effective </w:t>
      </w:r>
      <w:r w:rsidR="004715AD">
        <w:t>May 16, 2023</w:t>
      </w:r>
      <w:r w:rsidRPr="00B03248">
        <w:t>)</w:t>
      </w:r>
    </w:p>
    <w:sectPr w:rsidR="00EF3D09" w:rsidRPr="00B03248" w:rsidSect="00A76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C23"/>
    <w:rsid w:val="001160EC"/>
    <w:rsid w:val="002700A7"/>
    <w:rsid w:val="004715AD"/>
    <w:rsid w:val="00547238"/>
    <w:rsid w:val="00555BE9"/>
    <w:rsid w:val="005C3366"/>
    <w:rsid w:val="00646882"/>
    <w:rsid w:val="006742BF"/>
    <w:rsid w:val="006E7F62"/>
    <w:rsid w:val="0076134E"/>
    <w:rsid w:val="008916D4"/>
    <w:rsid w:val="008D4C67"/>
    <w:rsid w:val="009202E9"/>
    <w:rsid w:val="00A604D2"/>
    <w:rsid w:val="00A76C23"/>
    <w:rsid w:val="00AC6212"/>
    <w:rsid w:val="00BD3890"/>
    <w:rsid w:val="00C000EF"/>
    <w:rsid w:val="00DC7567"/>
    <w:rsid w:val="00EF3D09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D72751"/>
  <w15:docId w15:val="{499F3354-8056-44AD-95A2-E9AB025D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5</cp:revision>
  <dcterms:created xsi:type="dcterms:W3CDTF">2023-04-19T16:22:00Z</dcterms:created>
  <dcterms:modified xsi:type="dcterms:W3CDTF">2023-06-02T15:19:00Z</dcterms:modified>
</cp:coreProperties>
</file>