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91AB3" w14:textId="77777777" w:rsidR="004D1017" w:rsidRDefault="004D1017" w:rsidP="004D1017">
      <w:pPr>
        <w:widowControl w:val="0"/>
        <w:autoSpaceDE w:val="0"/>
        <w:autoSpaceDN w:val="0"/>
        <w:adjustRightInd w:val="0"/>
      </w:pPr>
    </w:p>
    <w:p w14:paraId="3CA24A8D" w14:textId="77777777" w:rsidR="004D1017" w:rsidRDefault="004D1017" w:rsidP="004D10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615.423  Required Closure of Units Located Within Maximum Setback Zones</w:t>
      </w:r>
      <w:r>
        <w:t xml:space="preserve"> </w:t>
      </w:r>
    </w:p>
    <w:p w14:paraId="3912D113" w14:textId="77777777" w:rsidR="004D1017" w:rsidRDefault="004D1017" w:rsidP="004D1017">
      <w:pPr>
        <w:widowControl w:val="0"/>
        <w:autoSpaceDE w:val="0"/>
        <w:autoSpaceDN w:val="0"/>
        <w:adjustRightInd w:val="0"/>
      </w:pPr>
    </w:p>
    <w:p w14:paraId="21EB952E" w14:textId="42A8A6E4" w:rsidR="004D1017" w:rsidRDefault="008E7F89" w:rsidP="004D1017">
      <w:pPr>
        <w:widowControl w:val="0"/>
        <w:autoSpaceDE w:val="0"/>
        <w:autoSpaceDN w:val="0"/>
        <w:adjustRightInd w:val="0"/>
      </w:pPr>
      <w:r>
        <w:t xml:space="preserve">Starting two years after the effective date of the </w:t>
      </w:r>
      <w:r w:rsidR="00981EFA">
        <w:t>ordinance</w:t>
      </w:r>
      <w:r>
        <w:t xml:space="preserve"> or regulation that </w:t>
      </w:r>
      <w:r w:rsidR="00981EFA">
        <w:t>establishes</w:t>
      </w:r>
      <w:r>
        <w:t xml:space="preserve"> a maximum setback zone, a</w:t>
      </w:r>
      <w:r w:rsidR="004D1017">
        <w:t xml:space="preserve"> person </w:t>
      </w:r>
      <w:r w:rsidR="003E4B16">
        <w:t>must not</w:t>
      </w:r>
      <w:r w:rsidR="004D1017">
        <w:t xml:space="preserve"> cause or allow the operation within </w:t>
      </w:r>
      <w:r>
        <w:t>the</w:t>
      </w:r>
      <w:r w:rsidR="004D1017">
        <w:t xml:space="preserve"> maximum setback zone of any land treatment unit at which special waste is treated or disposed</w:t>
      </w:r>
      <w:r>
        <w:t xml:space="preserve"> of</w:t>
      </w:r>
      <w:r w:rsidR="004D1017">
        <w:t xml:space="preserve">.  Closure </w:t>
      </w:r>
      <w:r w:rsidR="003E4B16">
        <w:t>must</w:t>
      </w:r>
      <w:r w:rsidR="004D1017">
        <w:t xml:space="preserve"> be completed within three years after the effective date of the ordinance or regulation that establishes the maximum setback zone. </w:t>
      </w:r>
    </w:p>
    <w:p w14:paraId="65C6BFEE" w14:textId="77777777" w:rsidR="003E4B16" w:rsidRDefault="003E4B16" w:rsidP="004D1017">
      <w:pPr>
        <w:widowControl w:val="0"/>
        <w:autoSpaceDE w:val="0"/>
        <w:autoSpaceDN w:val="0"/>
        <w:adjustRightInd w:val="0"/>
      </w:pPr>
    </w:p>
    <w:p w14:paraId="14BDEC79" w14:textId="0723DC2D" w:rsidR="003E4B16" w:rsidRDefault="003E4B16" w:rsidP="003E4B16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E649C1">
        <w:t>7</w:t>
      </w:r>
      <w:r>
        <w:t xml:space="preserve"> Ill. Reg. </w:t>
      </w:r>
      <w:r w:rsidR="001C44D2">
        <w:t>7581</w:t>
      </w:r>
      <w:r>
        <w:t xml:space="preserve">, effective </w:t>
      </w:r>
      <w:r w:rsidR="001C44D2">
        <w:t>May 16, 2023</w:t>
      </w:r>
      <w:r>
        <w:t>)</w:t>
      </w:r>
    </w:p>
    <w:sectPr w:rsidR="003E4B16" w:rsidSect="004D10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1017"/>
    <w:rsid w:val="001C44D2"/>
    <w:rsid w:val="003E4B16"/>
    <w:rsid w:val="004D1017"/>
    <w:rsid w:val="005C3366"/>
    <w:rsid w:val="006D42DC"/>
    <w:rsid w:val="00736E55"/>
    <w:rsid w:val="008E7F89"/>
    <w:rsid w:val="00981EFA"/>
    <w:rsid w:val="00B72D42"/>
    <w:rsid w:val="00D02AE3"/>
    <w:rsid w:val="00E6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208BCA"/>
  <w15:docId w15:val="{A3445A52-D981-498A-B445-B671B032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3</cp:revision>
  <dcterms:created xsi:type="dcterms:W3CDTF">2023-05-24T14:38:00Z</dcterms:created>
  <dcterms:modified xsi:type="dcterms:W3CDTF">2023-06-02T12:47:00Z</dcterms:modified>
</cp:coreProperties>
</file>