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D039" w14:textId="77777777" w:rsidR="006B4876" w:rsidRDefault="006B4876" w:rsidP="006B4876">
      <w:pPr>
        <w:rPr>
          <w:rFonts w:eastAsia="Calibri"/>
        </w:rPr>
      </w:pPr>
    </w:p>
    <w:p w14:paraId="4D4EA26D" w14:textId="7E36077A" w:rsidR="006B4876" w:rsidRPr="006B4876" w:rsidRDefault="006B4876" w:rsidP="006B4876">
      <w:pPr>
        <w:rPr>
          <w:rFonts w:eastAsia="Calibri"/>
          <w:b/>
          <w:bCs/>
        </w:rPr>
      </w:pPr>
      <w:r w:rsidRPr="006B4876">
        <w:rPr>
          <w:rFonts w:eastAsia="Calibri"/>
          <w:b/>
          <w:bCs/>
        </w:rPr>
        <w:t xml:space="preserve">Section </w:t>
      </w:r>
      <w:proofErr w:type="gramStart"/>
      <w:r w:rsidRPr="006B4876">
        <w:rPr>
          <w:rFonts w:eastAsia="Calibri"/>
          <w:b/>
          <w:bCs/>
        </w:rPr>
        <w:t>611.1359  Analytical</w:t>
      </w:r>
      <w:proofErr w:type="gramEnd"/>
      <w:r w:rsidRPr="006B4876">
        <w:rPr>
          <w:rFonts w:eastAsia="Calibri"/>
          <w:b/>
          <w:bCs/>
        </w:rPr>
        <w:t xml:space="preserve"> Methods</w:t>
      </w:r>
    </w:p>
    <w:p w14:paraId="5CD3306B" w14:textId="77777777" w:rsidR="006B4876" w:rsidRDefault="006B4876" w:rsidP="006B4876">
      <w:pPr>
        <w:ind w:left="2160" w:hanging="720"/>
        <w:rPr>
          <w:rFonts w:eastAsia="Calibri"/>
        </w:rPr>
      </w:pPr>
    </w:p>
    <w:p w14:paraId="5CBA0C22" w14:textId="0B036DDF" w:rsidR="006B4876" w:rsidRDefault="006B4876" w:rsidP="006B4876">
      <w:pPr>
        <w:rPr>
          <w:rFonts w:eastAsia="Calibri"/>
        </w:rPr>
      </w:pPr>
      <w:r w:rsidRPr="006B4876">
        <w:rPr>
          <w:rFonts w:eastAsia="Calibri"/>
        </w:rPr>
        <w:t>The supplier must conduct analyses for lead, copper, pH, conductivity, calcium, alkalinity, orthophosphate, silica, and temperature using the methods in Section 611.611(a).</w:t>
      </w:r>
    </w:p>
    <w:p w14:paraId="1D9AADD3" w14:textId="77777777" w:rsidR="006B4876" w:rsidRPr="006B4876" w:rsidRDefault="006B4876" w:rsidP="006B4876">
      <w:pPr>
        <w:rPr>
          <w:rFonts w:eastAsia="Calibri"/>
        </w:rPr>
      </w:pPr>
    </w:p>
    <w:p w14:paraId="68705AB4" w14:textId="2ECDBDB0" w:rsidR="006B4876" w:rsidRPr="006B4876" w:rsidRDefault="006B4876" w:rsidP="006B4876">
      <w:pPr>
        <w:ind w:left="1440" w:hanging="720"/>
        <w:rPr>
          <w:rFonts w:eastAsia="Calibri"/>
        </w:rPr>
      </w:pPr>
      <w:r w:rsidRPr="006B4876">
        <w:rPr>
          <w:rFonts w:eastAsia="Calibri"/>
        </w:rPr>
        <w:t>a)</w:t>
      </w:r>
      <w:r>
        <w:rPr>
          <w:rFonts w:eastAsia="Calibri"/>
        </w:rPr>
        <w:tab/>
      </w:r>
      <w:r w:rsidRPr="006B4876">
        <w:rPr>
          <w:rFonts w:eastAsia="Calibri"/>
        </w:rPr>
        <w:t xml:space="preserve">Only a certified laboratory in one of the categories in Section 611.490(a) may conduct analyses for lead and copper to demonstrate that a supplier complies with this Subpart </w:t>
      </w:r>
      <w:r w:rsidR="006069E7">
        <w:rPr>
          <w:rFonts w:eastAsia="Calibri"/>
        </w:rPr>
        <w:t>A</w:t>
      </w:r>
      <w:r w:rsidRPr="006B4876">
        <w:rPr>
          <w:rFonts w:eastAsia="Calibri"/>
        </w:rPr>
        <w:t>G.  To obtain certification for conducting analyses for lead and copper, a laboratory must fulfill specific conditions:</w:t>
      </w:r>
    </w:p>
    <w:p w14:paraId="5C37487B" w14:textId="77777777" w:rsidR="006B4876" w:rsidRDefault="006B4876" w:rsidP="00567B00">
      <w:pPr>
        <w:rPr>
          <w:rFonts w:eastAsia="Calibri"/>
        </w:rPr>
      </w:pPr>
    </w:p>
    <w:p w14:paraId="395489E0" w14:textId="22F2082B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1)</w:t>
      </w:r>
      <w:r>
        <w:rPr>
          <w:rFonts w:eastAsia="Calibri"/>
        </w:rPr>
        <w:tab/>
      </w:r>
      <w:r w:rsidRPr="006B4876">
        <w:rPr>
          <w:rFonts w:eastAsia="Calibri"/>
        </w:rPr>
        <w:t>The laboratory must analyze lead- and copper-containing performance evaluation samples provided by USEPA or the Agency;</w:t>
      </w:r>
    </w:p>
    <w:p w14:paraId="08F73F47" w14:textId="77777777" w:rsidR="006B4876" w:rsidRDefault="006B4876" w:rsidP="00567B00">
      <w:pPr>
        <w:rPr>
          <w:rFonts w:eastAsia="Calibri"/>
        </w:rPr>
      </w:pPr>
    </w:p>
    <w:p w14:paraId="7B3A3215" w14:textId="619B5C6E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2)</w:t>
      </w:r>
      <w:r>
        <w:rPr>
          <w:rFonts w:eastAsia="Calibri"/>
        </w:rPr>
        <w:tab/>
      </w:r>
      <w:r w:rsidRPr="006B4876">
        <w:rPr>
          <w:rFonts w:eastAsia="Calibri"/>
        </w:rPr>
        <w:t>The laboratory must achieve certain quantitative acceptance limits:</w:t>
      </w:r>
    </w:p>
    <w:p w14:paraId="006C803B" w14:textId="77777777" w:rsidR="006B4876" w:rsidRDefault="006B4876" w:rsidP="00567B00">
      <w:pPr>
        <w:rPr>
          <w:rFonts w:eastAsia="Calibri"/>
        </w:rPr>
      </w:pPr>
    </w:p>
    <w:p w14:paraId="02A05C6C" w14:textId="7A014ABB" w:rsidR="006B4876" w:rsidRPr="006B4876" w:rsidRDefault="006B4876" w:rsidP="006B4876">
      <w:pPr>
        <w:ind w:left="2880" w:hanging="720"/>
        <w:rPr>
          <w:rFonts w:eastAsia="Calibri"/>
        </w:rPr>
      </w:pPr>
      <w:r w:rsidRPr="006B4876">
        <w:rPr>
          <w:rFonts w:eastAsia="Calibri"/>
        </w:rPr>
        <w:t>A)</w:t>
      </w:r>
      <w:r>
        <w:rPr>
          <w:rFonts w:eastAsia="Calibri"/>
        </w:rPr>
        <w:tab/>
      </w:r>
      <w:r w:rsidRPr="006B4876">
        <w:rPr>
          <w:rFonts w:eastAsia="Calibri"/>
        </w:rPr>
        <w:t>For lead:  ±30 percent of the actual amount in the performance evaluation sample when the actual amount is greater than or equal to 0.005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(the </w:t>
      </w:r>
      <w:proofErr w:type="spellStart"/>
      <w:r w:rsidRPr="006B4876">
        <w:rPr>
          <w:rFonts w:eastAsia="Calibri"/>
        </w:rPr>
        <w:t>PQL</w:t>
      </w:r>
      <w:proofErr w:type="spellEnd"/>
      <w:r w:rsidRPr="006B4876">
        <w:rPr>
          <w:rFonts w:eastAsia="Calibri"/>
        </w:rPr>
        <w:t xml:space="preserve"> for lead is 0.005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>);</w:t>
      </w:r>
    </w:p>
    <w:p w14:paraId="13FE8085" w14:textId="77777777" w:rsidR="006B4876" w:rsidRDefault="006B4876" w:rsidP="00567B00">
      <w:pPr>
        <w:rPr>
          <w:rFonts w:eastAsia="Calibri"/>
        </w:rPr>
      </w:pPr>
    </w:p>
    <w:p w14:paraId="5D065A66" w14:textId="1E9CE9F0" w:rsidR="006B4876" w:rsidRPr="006B4876" w:rsidRDefault="006B4876" w:rsidP="006B4876">
      <w:pPr>
        <w:ind w:left="2880" w:hanging="720"/>
        <w:rPr>
          <w:rFonts w:eastAsia="Calibri"/>
        </w:rPr>
      </w:pPr>
      <w:r w:rsidRPr="006B4876">
        <w:rPr>
          <w:rFonts w:eastAsia="Calibri"/>
        </w:rPr>
        <w:t>B)</w:t>
      </w:r>
      <w:r>
        <w:rPr>
          <w:rFonts w:eastAsia="Calibri"/>
        </w:rPr>
        <w:tab/>
      </w:r>
      <w:r w:rsidRPr="006B4876">
        <w:rPr>
          <w:rFonts w:eastAsia="Calibri"/>
        </w:rPr>
        <w:t>For copper:  ±10 percent of the actual amount in the performance evaluation sample when the actual amount is greater than or equal to 0.050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(the </w:t>
      </w:r>
      <w:proofErr w:type="spellStart"/>
      <w:r w:rsidRPr="006B4876">
        <w:rPr>
          <w:rFonts w:eastAsia="Calibri"/>
        </w:rPr>
        <w:t>PQL</w:t>
      </w:r>
      <w:proofErr w:type="spellEnd"/>
      <w:r w:rsidRPr="006B4876">
        <w:rPr>
          <w:rFonts w:eastAsia="Calibri"/>
        </w:rPr>
        <w:t xml:space="preserve"> for copper is 0.050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>);</w:t>
      </w:r>
    </w:p>
    <w:p w14:paraId="65E4F2EA" w14:textId="77777777" w:rsidR="006B4876" w:rsidRDefault="006B4876" w:rsidP="00567B00">
      <w:pPr>
        <w:rPr>
          <w:rFonts w:eastAsia="Calibri"/>
        </w:rPr>
      </w:pPr>
    </w:p>
    <w:p w14:paraId="57C6D99E" w14:textId="04C7555D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3)</w:t>
      </w:r>
      <w:r>
        <w:rPr>
          <w:rFonts w:eastAsia="Calibri"/>
        </w:rPr>
        <w:tab/>
      </w:r>
      <w:r w:rsidRPr="006B4876">
        <w:rPr>
          <w:rFonts w:eastAsia="Calibri"/>
        </w:rPr>
        <w:t>The laboratory must achieve the method detection limit (MDL) for lead of 0.001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using the procedures in 35 Ill. Adm. Code 186 and appendix B to 40 CFR 136: </w:t>
      </w:r>
      <w:r w:rsidR="006069E7">
        <w:rPr>
          <w:rFonts w:eastAsia="Calibri"/>
        </w:rPr>
        <w:t>"</w:t>
      </w:r>
      <w:r w:rsidRPr="006B4876">
        <w:rPr>
          <w:rFonts w:eastAsia="Calibri"/>
        </w:rPr>
        <w:t>Definition and Procedure for the Determination of the Method Detection Limit—Revision 1.11</w:t>
      </w:r>
      <w:r w:rsidR="006069E7">
        <w:rPr>
          <w:rFonts w:eastAsia="Calibri"/>
        </w:rPr>
        <w:t>"</w:t>
      </w:r>
      <w:r w:rsidRPr="006B4876">
        <w:rPr>
          <w:rFonts w:eastAsia="Calibri"/>
        </w:rPr>
        <w:t>, incorporated by reference in Section 611.102(c).  The laboratory needs only accomplish this if the laboratory will process source water composite samples under Section 611.1358(a)(1)(D); and</w:t>
      </w:r>
    </w:p>
    <w:p w14:paraId="3218A854" w14:textId="77777777" w:rsidR="006B4876" w:rsidRDefault="006B4876" w:rsidP="00567B00">
      <w:pPr>
        <w:rPr>
          <w:rFonts w:eastAsia="Calibri"/>
        </w:rPr>
      </w:pPr>
    </w:p>
    <w:p w14:paraId="029755B9" w14:textId="79DD5D92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4)</w:t>
      </w:r>
      <w:r>
        <w:rPr>
          <w:rFonts w:eastAsia="Calibri"/>
        </w:rPr>
        <w:tab/>
      </w:r>
      <w:r w:rsidRPr="006B4876">
        <w:rPr>
          <w:rFonts w:eastAsia="Calibri"/>
        </w:rPr>
        <w:t>The laboratory must have current certification to perform analyses under the specifications this subsection (a)(1) describes.</w:t>
      </w:r>
    </w:p>
    <w:p w14:paraId="17627A84" w14:textId="77777777" w:rsidR="006B4876" w:rsidRDefault="006B4876" w:rsidP="00567B00">
      <w:pPr>
        <w:rPr>
          <w:rFonts w:eastAsia="Calibri"/>
        </w:rPr>
      </w:pPr>
    </w:p>
    <w:p w14:paraId="02C04D16" w14:textId="76FE5DD4" w:rsidR="006B4876" w:rsidRPr="006B4876" w:rsidRDefault="006B4876" w:rsidP="006B4876">
      <w:pPr>
        <w:ind w:left="1440"/>
        <w:rPr>
          <w:rFonts w:eastAsia="Calibri"/>
        </w:rPr>
      </w:pPr>
      <w:r w:rsidRPr="006B4876">
        <w:rPr>
          <w:rFonts w:eastAsia="Calibri"/>
        </w:rPr>
        <w:t>BOARD NOTE:  This subsection (a) corresponds with Section 611.359(a) and derives from 40 CFR 141.89(a) and (a)(1) (2020).</w:t>
      </w:r>
    </w:p>
    <w:p w14:paraId="5EA6C599" w14:textId="77777777" w:rsidR="006B4876" w:rsidRDefault="006B4876" w:rsidP="00567B00">
      <w:pPr>
        <w:rPr>
          <w:rFonts w:eastAsia="Calibri"/>
        </w:rPr>
      </w:pPr>
    </w:p>
    <w:p w14:paraId="265A0549" w14:textId="0E85C152" w:rsidR="006B4876" w:rsidRPr="006B4876" w:rsidRDefault="006B4876" w:rsidP="006B4876">
      <w:pPr>
        <w:ind w:left="1440" w:hanging="720"/>
        <w:rPr>
          <w:rFonts w:eastAsia="Calibri"/>
        </w:rPr>
      </w:pPr>
      <w:r w:rsidRPr="006B4876">
        <w:rPr>
          <w:rFonts w:eastAsia="Calibri"/>
        </w:rPr>
        <w:t>b)</w:t>
      </w:r>
      <w:r>
        <w:rPr>
          <w:rFonts w:eastAsia="Calibri"/>
        </w:rPr>
        <w:tab/>
      </w:r>
      <w:r w:rsidRPr="006B4876">
        <w:rPr>
          <w:rFonts w:eastAsia="Calibri"/>
        </w:rPr>
        <w:t xml:space="preserve">The Agency must issue a SEP allowing a supplier to use previously collected monitoring data under this Subpart </w:t>
      </w:r>
      <w:r w:rsidR="006069E7">
        <w:rPr>
          <w:rFonts w:eastAsia="Calibri"/>
        </w:rPr>
        <w:t>A</w:t>
      </w:r>
      <w:r w:rsidRPr="006B4876">
        <w:rPr>
          <w:rFonts w:eastAsia="Calibri"/>
        </w:rPr>
        <w:t xml:space="preserve">G if the supplier collected and analyzed the data complying with this Subpart </w:t>
      </w:r>
      <w:r w:rsidR="006069E7">
        <w:rPr>
          <w:rFonts w:eastAsia="Calibri"/>
        </w:rPr>
        <w:t>A</w:t>
      </w:r>
      <w:r w:rsidRPr="006B4876">
        <w:rPr>
          <w:rFonts w:eastAsia="Calibri"/>
        </w:rPr>
        <w:t>G.</w:t>
      </w:r>
    </w:p>
    <w:p w14:paraId="32C5B05F" w14:textId="77777777" w:rsidR="006B4876" w:rsidRDefault="006B4876" w:rsidP="00567B00">
      <w:pPr>
        <w:rPr>
          <w:rFonts w:eastAsia="Calibri"/>
        </w:rPr>
      </w:pPr>
    </w:p>
    <w:p w14:paraId="66898626" w14:textId="3EF75D5E" w:rsidR="006B4876" w:rsidRPr="006B4876" w:rsidRDefault="006B4876" w:rsidP="006B4876">
      <w:pPr>
        <w:ind w:left="1440"/>
        <w:rPr>
          <w:rFonts w:eastAsia="Calibri"/>
        </w:rPr>
      </w:pPr>
      <w:r w:rsidRPr="006B4876">
        <w:rPr>
          <w:rFonts w:eastAsia="Calibri"/>
        </w:rPr>
        <w:t>BOARD NOTE:  This subsection (b) corresponds with Section 611.359(b) and derives from 40 CFR 141.89(a)(2) (2020).</w:t>
      </w:r>
    </w:p>
    <w:p w14:paraId="18C70318" w14:textId="77777777" w:rsidR="006B4876" w:rsidRDefault="006B4876" w:rsidP="00567B00">
      <w:pPr>
        <w:rPr>
          <w:rFonts w:eastAsia="Calibri"/>
        </w:rPr>
      </w:pPr>
    </w:p>
    <w:p w14:paraId="44EC40B0" w14:textId="102A7380" w:rsidR="006B4876" w:rsidRPr="006B4876" w:rsidRDefault="006B4876" w:rsidP="006B4876">
      <w:pPr>
        <w:ind w:left="1440" w:hanging="720"/>
        <w:rPr>
          <w:rFonts w:eastAsia="Calibri"/>
        </w:rPr>
      </w:pPr>
      <w:r w:rsidRPr="006B4876">
        <w:rPr>
          <w:rFonts w:eastAsia="Calibri"/>
        </w:rPr>
        <w:t>c)</w:t>
      </w:r>
      <w:r>
        <w:rPr>
          <w:rFonts w:eastAsia="Calibri"/>
        </w:rPr>
        <w:tab/>
      </w:r>
      <w:r w:rsidRPr="006B4876">
        <w:rPr>
          <w:rFonts w:eastAsia="Calibri"/>
        </w:rPr>
        <w:t>Reporting Lead and Copper Levels</w:t>
      </w:r>
    </w:p>
    <w:p w14:paraId="7D0D60D0" w14:textId="77777777" w:rsidR="006B4876" w:rsidRDefault="006B4876" w:rsidP="00567B00">
      <w:pPr>
        <w:rPr>
          <w:rFonts w:eastAsia="Calibri"/>
        </w:rPr>
      </w:pPr>
    </w:p>
    <w:p w14:paraId="367A7475" w14:textId="4D9D25F3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1)</w:t>
      </w:r>
      <w:r>
        <w:rPr>
          <w:rFonts w:eastAsia="Calibri"/>
        </w:rPr>
        <w:tab/>
      </w:r>
      <w:r w:rsidRPr="006B4876">
        <w:rPr>
          <w:rFonts w:eastAsia="Calibri"/>
        </w:rPr>
        <w:t xml:space="preserve">The supplier must report all lead and copper levels greater than or equal to the lead and copper </w:t>
      </w:r>
      <w:proofErr w:type="spellStart"/>
      <w:r w:rsidRPr="006B4876">
        <w:rPr>
          <w:rFonts w:eastAsia="Calibri"/>
        </w:rPr>
        <w:t>PQL</w:t>
      </w:r>
      <w:proofErr w:type="spellEnd"/>
      <w:r w:rsidRPr="006B4876">
        <w:rPr>
          <w:rFonts w:eastAsia="Calibri"/>
        </w:rPr>
        <w:t xml:space="preserve"> (Pb </w:t>
      </w:r>
      <w:r w:rsidR="006069E7">
        <w:rPr>
          <w:rFonts w:eastAsia="Calibri"/>
        </w:rPr>
        <w:t>(</w:t>
      </w:r>
      <w:r w:rsidRPr="006B4876">
        <w:rPr>
          <w:rFonts w:eastAsia="Calibri"/>
        </w:rPr>
        <w:t>0.005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and Cu </w:t>
      </w:r>
      <w:r w:rsidR="006069E7">
        <w:rPr>
          <w:rFonts w:eastAsia="Calibri"/>
        </w:rPr>
        <w:t>(</w:t>
      </w:r>
      <w:r w:rsidRPr="006B4876">
        <w:rPr>
          <w:rFonts w:eastAsia="Calibri"/>
        </w:rPr>
        <w:t>0.050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>) as measured.</w:t>
      </w:r>
    </w:p>
    <w:p w14:paraId="348E5744" w14:textId="77777777" w:rsidR="006B4876" w:rsidRDefault="006B4876" w:rsidP="00567B00">
      <w:pPr>
        <w:rPr>
          <w:rFonts w:eastAsia="Calibri"/>
        </w:rPr>
      </w:pPr>
    </w:p>
    <w:p w14:paraId="12D28226" w14:textId="40146968" w:rsidR="006B4876" w:rsidRP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2)</w:t>
      </w:r>
      <w:r>
        <w:rPr>
          <w:rFonts w:eastAsia="Calibri"/>
        </w:rPr>
        <w:tab/>
      </w:r>
      <w:r w:rsidRPr="006B4876">
        <w:rPr>
          <w:rFonts w:eastAsia="Calibri"/>
        </w:rPr>
        <w:t xml:space="preserve">The supplier must report all lead and copper levels less than the </w:t>
      </w:r>
      <w:proofErr w:type="spellStart"/>
      <w:r w:rsidRPr="006B4876">
        <w:rPr>
          <w:rFonts w:eastAsia="Calibri"/>
        </w:rPr>
        <w:t>PQL</w:t>
      </w:r>
      <w:proofErr w:type="spellEnd"/>
      <w:r w:rsidRPr="006B4876">
        <w:rPr>
          <w:rFonts w:eastAsia="Calibri"/>
        </w:rPr>
        <w:t xml:space="preserve"> but greater than the MDL (0.005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&gt; Pb &gt; MDL and 0.050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&gt; Cu &gt; MDL) either as measured or as one-half the </w:t>
      </w:r>
      <w:proofErr w:type="spellStart"/>
      <w:r w:rsidRPr="006B4876">
        <w:rPr>
          <w:rFonts w:eastAsia="Calibri"/>
        </w:rPr>
        <w:t>PQL</w:t>
      </w:r>
      <w:proofErr w:type="spellEnd"/>
      <w:r w:rsidRPr="006B4876">
        <w:rPr>
          <w:rFonts w:eastAsia="Calibri"/>
        </w:rPr>
        <w:t xml:space="preserve"> in subsection (a) (i.e., 0.0025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for lead or 0.025 mg/</w:t>
      </w:r>
      <w:r w:rsidR="006069E7">
        <w:rPr>
          <w:rFonts w:eastAsia="Calibri"/>
        </w:rPr>
        <w:t>L</w:t>
      </w:r>
      <w:r w:rsidRPr="006B4876">
        <w:rPr>
          <w:rFonts w:eastAsia="Calibri"/>
        </w:rPr>
        <w:t xml:space="preserve"> for copper).</w:t>
      </w:r>
    </w:p>
    <w:p w14:paraId="1FF9C2AE" w14:textId="77777777" w:rsidR="006B4876" w:rsidRDefault="006B4876" w:rsidP="00567B00">
      <w:pPr>
        <w:rPr>
          <w:rFonts w:eastAsia="Calibri"/>
        </w:rPr>
      </w:pPr>
    </w:p>
    <w:p w14:paraId="30D7B6E2" w14:textId="118F6551" w:rsidR="006B4876" w:rsidRDefault="006B4876" w:rsidP="006B4876">
      <w:pPr>
        <w:ind w:left="2160" w:hanging="720"/>
        <w:rPr>
          <w:rFonts w:eastAsia="Calibri"/>
        </w:rPr>
      </w:pPr>
      <w:r w:rsidRPr="006B4876">
        <w:rPr>
          <w:rFonts w:eastAsia="Calibri"/>
        </w:rPr>
        <w:t>3)</w:t>
      </w:r>
      <w:r>
        <w:rPr>
          <w:rFonts w:eastAsia="Calibri"/>
        </w:rPr>
        <w:tab/>
      </w:r>
      <w:r w:rsidRPr="006B4876">
        <w:rPr>
          <w:rFonts w:eastAsia="Calibri"/>
        </w:rPr>
        <w:t>The supplier must report all lead and copper levels below the lead and copper MDL (MDL &gt; Pb) as zero.</w:t>
      </w:r>
    </w:p>
    <w:p w14:paraId="29996EA2" w14:textId="77777777" w:rsidR="006B4876" w:rsidRPr="006B4876" w:rsidRDefault="006B4876" w:rsidP="00567B00">
      <w:pPr>
        <w:rPr>
          <w:rFonts w:eastAsia="Calibri"/>
        </w:rPr>
      </w:pPr>
    </w:p>
    <w:p w14:paraId="5E8FD617" w14:textId="2BD7FA5E" w:rsidR="006B4876" w:rsidRDefault="006B4876" w:rsidP="006B4876">
      <w:pPr>
        <w:ind w:left="1440"/>
        <w:rPr>
          <w:rFonts w:eastAsia="Calibri"/>
        </w:rPr>
      </w:pPr>
      <w:r w:rsidRPr="006B4876">
        <w:rPr>
          <w:rFonts w:eastAsia="Calibri"/>
        </w:rPr>
        <w:t>BOARD NOTE:  This subsection (c) corresponds with Section 611.359(c) and derives from 40 CFR 141.89(a)(3) and (a)(4) (2020).</w:t>
      </w:r>
    </w:p>
    <w:p w14:paraId="17ACABF6" w14:textId="77777777" w:rsidR="006B4876" w:rsidRPr="006B4876" w:rsidRDefault="006B4876" w:rsidP="006B4876">
      <w:pPr>
        <w:rPr>
          <w:rFonts w:eastAsia="Calibri"/>
        </w:rPr>
      </w:pPr>
    </w:p>
    <w:p w14:paraId="7B641162" w14:textId="0C4A0285" w:rsidR="000174EB" w:rsidRPr="006B4876" w:rsidRDefault="006B4876" w:rsidP="006B4876">
      <w:pPr>
        <w:ind w:left="720"/>
        <w:rPr>
          <w:rFonts w:eastAsia="Calibri"/>
        </w:rPr>
      </w:pPr>
      <w:r w:rsidRPr="006B4876">
        <w:rPr>
          <w:rFonts w:eastAsia="Calibri"/>
        </w:rPr>
        <w:t>(Source:  A</w:t>
      </w:r>
      <w:r>
        <w:rPr>
          <w:rFonts w:eastAsia="Calibri"/>
        </w:rPr>
        <w:t>d</w:t>
      </w:r>
      <w:r w:rsidRPr="006B4876">
        <w:rPr>
          <w:rFonts w:eastAsia="Calibri"/>
        </w:rPr>
        <w:t xml:space="preserve">ded at 47 Ill. Reg. </w:t>
      </w:r>
      <w:r w:rsidR="00837BBF">
        <w:rPr>
          <w:rFonts w:eastAsia="Calibri"/>
        </w:rPr>
        <w:t>16486</w:t>
      </w:r>
      <w:r w:rsidRPr="006B4876">
        <w:rPr>
          <w:rFonts w:eastAsia="Calibri"/>
        </w:rPr>
        <w:t xml:space="preserve">, effective </w:t>
      </w:r>
      <w:r w:rsidR="00837BBF">
        <w:rPr>
          <w:rFonts w:eastAsia="Calibri"/>
        </w:rPr>
        <w:t>November 2, 2023</w:t>
      </w:r>
      <w:r w:rsidRPr="006B4876">
        <w:rPr>
          <w:rFonts w:eastAsia="Calibri"/>
        </w:rPr>
        <w:t>)</w:t>
      </w:r>
    </w:p>
    <w:sectPr w:rsidR="000174EB" w:rsidRPr="006B48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8811" w14:textId="77777777" w:rsidR="004C7A26" w:rsidRDefault="004C7A26">
      <w:r>
        <w:separator/>
      </w:r>
    </w:p>
  </w:endnote>
  <w:endnote w:type="continuationSeparator" w:id="0">
    <w:p w14:paraId="1D017B5E" w14:textId="77777777" w:rsidR="004C7A26" w:rsidRDefault="004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CD38" w14:textId="77777777" w:rsidR="004C7A26" w:rsidRDefault="004C7A26">
      <w:r>
        <w:separator/>
      </w:r>
    </w:p>
  </w:footnote>
  <w:footnote w:type="continuationSeparator" w:id="0">
    <w:p w14:paraId="4017D73B" w14:textId="77777777" w:rsidR="004C7A26" w:rsidRDefault="004C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A2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B0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9E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876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BB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DF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27F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8978E"/>
  <w15:chartTrackingRefBased/>
  <w15:docId w15:val="{758A873B-2B54-49F6-A3AE-E169EECA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87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2023-11-17T14:02:00Z</dcterms:created>
  <dcterms:modified xsi:type="dcterms:W3CDTF">2023-11-17T18:36:00Z</dcterms:modified>
</cp:coreProperties>
</file>