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78C8" w14:textId="77777777" w:rsidR="0012683C" w:rsidRPr="00D56F2D" w:rsidRDefault="0012683C" w:rsidP="0012683C"/>
    <w:p w14:paraId="2409736A" w14:textId="77777777" w:rsidR="0012683C" w:rsidRPr="0012683C" w:rsidRDefault="0012683C" w:rsidP="0012683C">
      <w:pPr>
        <w:rPr>
          <w:b/>
        </w:rPr>
      </w:pPr>
      <w:r w:rsidRPr="0012683C">
        <w:rPr>
          <w:b/>
        </w:rPr>
        <w:t>Section 611.970</w:t>
      </w:r>
      <w:r>
        <w:rPr>
          <w:b/>
        </w:rPr>
        <w:t xml:space="preserve">  </w:t>
      </w:r>
      <w:r w:rsidRPr="0012683C">
        <w:rPr>
          <w:b/>
        </w:rPr>
        <w:t>General Requirements</w:t>
      </w:r>
    </w:p>
    <w:p w14:paraId="199D6C6C" w14:textId="77777777" w:rsidR="0012683C" w:rsidRPr="00D56F2D" w:rsidRDefault="0012683C" w:rsidP="0012683C"/>
    <w:p w14:paraId="47552694" w14:textId="77777777" w:rsidR="0012683C" w:rsidRPr="0012683C" w:rsidRDefault="0012683C" w:rsidP="0012683C">
      <w:pPr>
        <w:ind w:left="1440" w:hanging="720"/>
        <w:rPr>
          <w:szCs w:val="18"/>
        </w:rPr>
      </w:pPr>
      <w:r w:rsidRPr="0012683C">
        <w:t>a)</w:t>
      </w:r>
      <w:r>
        <w:tab/>
      </w:r>
      <w:r w:rsidRPr="0012683C">
        <w:rPr>
          <w:iCs/>
          <w:szCs w:val="18"/>
        </w:rPr>
        <w:t xml:space="preserve">General.  </w:t>
      </w:r>
      <w:r w:rsidRPr="0012683C">
        <w:rPr>
          <w:szCs w:val="18"/>
        </w:rPr>
        <w:t>The requirements of this Subpart Y constitute NPDWRs.  The regulations in this Subpart Y establish monitoring and other requirements for achieving compliance with MCLs based on LRAAs for TTHM and HAA5, and for achieving compliance with MRDLs for chlorine and chloramine for certain consecutive systems.</w:t>
      </w:r>
    </w:p>
    <w:p w14:paraId="28B5D036" w14:textId="77777777" w:rsidR="0012683C" w:rsidRPr="0012683C" w:rsidRDefault="0012683C" w:rsidP="0012683C">
      <w:pPr>
        <w:rPr>
          <w:szCs w:val="18"/>
        </w:rPr>
      </w:pPr>
    </w:p>
    <w:p w14:paraId="6201764A" w14:textId="44609F33" w:rsidR="0012683C" w:rsidRPr="0012683C" w:rsidRDefault="0012683C" w:rsidP="0012683C">
      <w:pPr>
        <w:ind w:left="1440" w:hanging="720"/>
        <w:rPr>
          <w:szCs w:val="18"/>
        </w:rPr>
      </w:pPr>
      <w:r w:rsidRPr="0012683C">
        <w:rPr>
          <w:szCs w:val="18"/>
        </w:rPr>
        <w:t>b)</w:t>
      </w:r>
      <w:r>
        <w:rPr>
          <w:szCs w:val="18"/>
        </w:rPr>
        <w:tab/>
      </w:r>
      <w:r w:rsidRPr="0012683C">
        <w:rPr>
          <w:iCs/>
          <w:szCs w:val="18"/>
        </w:rPr>
        <w:t xml:space="preserve">Applicability.  </w:t>
      </w:r>
      <w:r w:rsidRPr="0012683C">
        <w:rPr>
          <w:szCs w:val="18"/>
        </w:rPr>
        <w:t xml:space="preserve">A supplier is subject to these requirements if its system is a CWS or a NTNCWS that uses a primary or residual disinfectant other than ultraviolet light or </w:t>
      </w:r>
      <w:r w:rsidR="00751A2F">
        <w:rPr>
          <w:szCs w:val="18"/>
        </w:rPr>
        <w:t>that</w:t>
      </w:r>
      <w:r w:rsidRPr="0012683C">
        <w:rPr>
          <w:szCs w:val="18"/>
        </w:rPr>
        <w:t xml:space="preserve"> delivers water that has been treated with a primary or residual disinfectant other than ultraviolet light.</w:t>
      </w:r>
    </w:p>
    <w:p w14:paraId="6D23EA71" w14:textId="77777777" w:rsidR="0012683C" w:rsidRPr="0012683C" w:rsidRDefault="0012683C" w:rsidP="0012683C">
      <w:pPr>
        <w:rPr>
          <w:szCs w:val="18"/>
        </w:rPr>
      </w:pPr>
    </w:p>
    <w:p w14:paraId="15E5F108" w14:textId="49C847A9" w:rsidR="0012683C" w:rsidRPr="0012683C" w:rsidRDefault="0012683C" w:rsidP="0012683C">
      <w:pPr>
        <w:ind w:left="1440" w:hanging="720"/>
        <w:rPr>
          <w:szCs w:val="18"/>
        </w:rPr>
      </w:pPr>
      <w:r w:rsidRPr="0012683C">
        <w:rPr>
          <w:szCs w:val="18"/>
        </w:rPr>
        <w:t>c)</w:t>
      </w:r>
      <w:r>
        <w:rPr>
          <w:szCs w:val="18"/>
        </w:rPr>
        <w:tab/>
      </w:r>
      <w:r w:rsidRPr="0012683C">
        <w:rPr>
          <w:szCs w:val="18"/>
        </w:rPr>
        <w:t xml:space="preserve">A supplier must comply with this Subpart Y </w:t>
      </w:r>
      <w:r w:rsidR="00471D11">
        <w:rPr>
          <w:szCs w:val="18"/>
        </w:rPr>
        <w:t>as follows:</w:t>
      </w:r>
      <w:r w:rsidR="00471D11" w:rsidRPr="0012683C" w:rsidDel="00471D11">
        <w:rPr>
          <w:szCs w:val="18"/>
        </w:rPr>
        <w:t xml:space="preserve"> </w:t>
      </w:r>
    </w:p>
    <w:p w14:paraId="315C7CAD" w14:textId="77777777" w:rsidR="0012683C" w:rsidRPr="0012683C" w:rsidRDefault="0012683C" w:rsidP="00DE1838">
      <w:pPr>
        <w:rPr>
          <w:szCs w:val="18"/>
        </w:rPr>
      </w:pPr>
    </w:p>
    <w:p w14:paraId="4427B83D" w14:textId="77777777" w:rsidR="0012683C" w:rsidRPr="0012683C" w:rsidRDefault="00471D11" w:rsidP="0012683C">
      <w:pPr>
        <w:ind w:left="2160" w:hanging="720"/>
        <w:rPr>
          <w:szCs w:val="18"/>
        </w:rPr>
      </w:pPr>
      <w:r>
        <w:t>1</w:t>
      </w:r>
      <w:r w:rsidR="0012683C" w:rsidRPr="0012683C">
        <w:t>)</w:t>
      </w:r>
      <w:r w:rsidR="0012683C">
        <w:tab/>
      </w:r>
      <w:r w:rsidR="0012683C" w:rsidRPr="0012683C">
        <w:rPr>
          <w:szCs w:val="18"/>
        </w:rPr>
        <w:t>The supplier</w:t>
      </w:r>
      <w:r w:rsidR="0012683C">
        <w:rPr>
          <w:szCs w:val="18"/>
        </w:rPr>
        <w:t>'</w:t>
      </w:r>
      <w:r w:rsidR="0012683C" w:rsidRPr="0012683C">
        <w:rPr>
          <w:szCs w:val="18"/>
        </w:rPr>
        <w:t>s monitoring frequency is specified in Section 611.971(a)(2).</w:t>
      </w:r>
    </w:p>
    <w:p w14:paraId="42D3C943" w14:textId="77777777" w:rsidR="0012683C" w:rsidRPr="0012683C" w:rsidRDefault="0012683C" w:rsidP="0012683C">
      <w:pPr>
        <w:rPr>
          <w:szCs w:val="18"/>
        </w:rPr>
      </w:pPr>
    </w:p>
    <w:p w14:paraId="51DCE5A8" w14:textId="2371F9F5" w:rsidR="0012683C" w:rsidRPr="0012683C" w:rsidRDefault="0012683C" w:rsidP="0012683C">
      <w:pPr>
        <w:ind w:left="2880" w:hanging="720"/>
        <w:rPr>
          <w:szCs w:val="18"/>
        </w:rPr>
      </w:pPr>
      <w:r w:rsidRPr="0012683C">
        <w:rPr>
          <w:szCs w:val="18"/>
        </w:rPr>
        <w:t>A)</w:t>
      </w:r>
      <w:r>
        <w:rPr>
          <w:szCs w:val="18"/>
        </w:rPr>
        <w:tab/>
      </w:r>
      <w:r w:rsidRPr="0012683C">
        <w:rPr>
          <w:szCs w:val="18"/>
        </w:rPr>
        <w:t>If a supplier is required to conduct quarterly monitoring, it must begin monitoring in the first full calendar quarter that includes the applicable compliance date in this subsection (c).</w:t>
      </w:r>
    </w:p>
    <w:p w14:paraId="22634177" w14:textId="77777777" w:rsidR="0012683C" w:rsidRPr="0012683C" w:rsidRDefault="0012683C" w:rsidP="0012683C">
      <w:pPr>
        <w:rPr>
          <w:szCs w:val="18"/>
        </w:rPr>
      </w:pPr>
    </w:p>
    <w:p w14:paraId="54D32721" w14:textId="668F047E" w:rsidR="0012683C" w:rsidRPr="0012683C" w:rsidRDefault="0012683C" w:rsidP="0012683C">
      <w:pPr>
        <w:ind w:left="2880" w:hanging="720"/>
        <w:rPr>
          <w:szCs w:val="18"/>
        </w:rPr>
      </w:pPr>
      <w:r w:rsidRPr="0012683C">
        <w:rPr>
          <w:szCs w:val="18"/>
        </w:rPr>
        <w:t>B)</w:t>
      </w:r>
      <w:r>
        <w:rPr>
          <w:szCs w:val="18"/>
        </w:rPr>
        <w:tab/>
      </w:r>
      <w:r w:rsidRPr="0012683C">
        <w:rPr>
          <w:szCs w:val="18"/>
        </w:rPr>
        <w:t xml:space="preserve">If a supplier is required to conduct monitoring less frequently than quarterly, it must begin monitoring in the calendar month recommended in the IDSE report prepared </w:t>
      </w:r>
      <w:r w:rsidR="009B53CD">
        <w:rPr>
          <w:szCs w:val="18"/>
        </w:rPr>
        <w:t>under</w:t>
      </w:r>
      <w:r w:rsidRPr="0012683C">
        <w:rPr>
          <w:szCs w:val="18"/>
        </w:rPr>
        <w:t xml:space="preserve"> Section 611.921 or Section 611.922 or in the calendar month identified in the </w:t>
      </w:r>
      <w:r w:rsidRPr="0012683C">
        <w:t>Subpart Y</w:t>
      </w:r>
      <w:r w:rsidRPr="0012683C">
        <w:rPr>
          <w:szCs w:val="18"/>
        </w:rPr>
        <w:t xml:space="preserve"> monitoring plan developed </w:t>
      </w:r>
      <w:r w:rsidR="009B53CD">
        <w:rPr>
          <w:szCs w:val="18"/>
        </w:rPr>
        <w:t>under</w:t>
      </w:r>
      <w:r w:rsidRPr="0012683C">
        <w:rPr>
          <w:szCs w:val="18"/>
        </w:rPr>
        <w:t xml:space="preserve"> Section 611.972, but in no instance later than 12 months after the applicable compliance date in this subsection (c).</w:t>
      </w:r>
    </w:p>
    <w:p w14:paraId="4390FFF8" w14:textId="77777777" w:rsidR="0012683C" w:rsidRPr="0012683C" w:rsidRDefault="0012683C" w:rsidP="0012683C">
      <w:pPr>
        <w:rPr>
          <w:szCs w:val="18"/>
        </w:rPr>
      </w:pPr>
    </w:p>
    <w:p w14:paraId="2CB8A4E9" w14:textId="77777777" w:rsidR="0012683C" w:rsidRPr="0012683C" w:rsidRDefault="00471D11" w:rsidP="0012683C">
      <w:pPr>
        <w:ind w:left="2160" w:hanging="720"/>
        <w:rPr>
          <w:szCs w:val="18"/>
        </w:rPr>
      </w:pPr>
      <w:r>
        <w:rPr>
          <w:szCs w:val="18"/>
        </w:rPr>
        <w:t>2</w:t>
      </w:r>
      <w:r w:rsidR="0012683C" w:rsidRPr="0012683C">
        <w:rPr>
          <w:szCs w:val="18"/>
        </w:rPr>
        <w:t>)</w:t>
      </w:r>
      <w:r w:rsidR="0012683C">
        <w:rPr>
          <w:szCs w:val="18"/>
        </w:rPr>
        <w:tab/>
      </w:r>
      <w:r w:rsidR="0012683C" w:rsidRPr="0012683C">
        <w:rPr>
          <w:szCs w:val="18"/>
        </w:rPr>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429B53FD" w14:textId="77777777" w:rsidR="0012683C" w:rsidRPr="0012683C" w:rsidRDefault="0012683C" w:rsidP="0012683C">
      <w:pPr>
        <w:rPr>
          <w:szCs w:val="18"/>
        </w:rPr>
      </w:pPr>
    </w:p>
    <w:p w14:paraId="5BF1E67A" w14:textId="77777777" w:rsidR="0012683C" w:rsidRPr="0012683C" w:rsidRDefault="00471D11" w:rsidP="0012683C">
      <w:pPr>
        <w:ind w:left="2160" w:hanging="828"/>
        <w:rPr>
          <w:szCs w:val="18"/>
        </w:rPr>
      </w:pPr>
      <w:r>
        <w:rPr>
          <w:szCs w:val="18"/>
        </w:rPr>
        <w:t>3</w:t>
      </w:r>
      <w:r w:rsidR="0012683C" w:rsidRPr="0012683C">
        <w:rPr>
          <w:szCs w:val="18"/>
        </w:rPr>
        <w:t>)</w:t>
      </w:r>
      <w:r w:rsidR="0012683C">
        <w:rPr>
          <w:szCs w:val="18"/>
        </w:rPr>
        <w:tab/>
      </w:r>
      <w:r>
        <w:rPr>
          <w:szCs w:val="18"/>
        </w:rPr>
        <w:t xml:space="preserve">The </w:t>
      </w:r>
      <w:r w:rsidR="0012683C" w:rsidRPr="0012683C">
        <w:rPr>
          <w:szCs w:val="18"/>
        </w:rPr>
        <w:t xml:space="preserv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w:t>
      </w:r>
      <w:r w:rsidR="0012683C" w:rsidRPr="0012683C">
        <w:rPr>
          <w:szCs w:val="18"/>
        </w:rPr>
        <w:lastRenderedPageBreak/>
        <w:t>factors such as delivery of water to a consecutive system only on an emergency basis or delivery of only a small percentage and small volume of water to a consecutive system.</w:t>
      </w:r>
    </w:p>
    <w:p w14:paraId="6A23C0CB" w14:textId="77777777" w:rsidR="0012683C" w:rsidRPr="0012683C" w:rsidRDefault="0012683C" w:rsidP="0012683C">
      <w:pPr>
        <w:rPr>
          <w:szCs w:val="18"/>
        </w:rPr>
      </w:pPr>
    </w:p>
    <w:p w14:paraId="78A809DA" w14:textId="77777777" w:rsidR="0012683C" w:rsidRPr="0012683C" w:rsidRDefault="0012683C" w:rsidP="0012683C">
      <w:pPr>
        <w:ind w:left="1440"/>
        <w:rPr>
          <w:szCs w:val="18"/>
        </w:rPr>
      </w:pPr>
      <w:r w:rsidRPr="0012683C">
        <w:rPr>
          <w:szCs w:val="18"/>
        </w:rPr>
        <w:t xml:space="preserve">BOARD NOTE:  </w:t>
      </w:r>
      <w:r w:rsidR="00471D11" w:rsidRPr="00471D11">
        <w:t xml:space="preserve">Implementation of this Subpart Y occurred in stages </w:t>
      </w:r>
      <w:r w:rsidR="00336944">
        <w:t>during</w:t>
      </w:r>
      <w:r w:rsidR="00471D11" w:rsidRPr="00471D11">
        <w:t xml:space="preserve"> October 1, 2012 through October 1, 2014, depending on population served.  See 40 CFR 141.620(c)(1) through (c)(5).  The Board removed the now-obsolete implementation dates.</w:t>
      </w:r>
    </w:p>
    <w:p w14:paraId="618EF5CA" w14:textId="77777777" w:rsidR="0012683C" w:rsidRPr="0012683C" w:rsidRDefault="0012683C" w:rsidP="0012683C">
      <w:pPr>
        <w:rPr>
          <w:szCs w:val="18"/>
        </w:rPr>
      </w:pPr>
    </w:p>
    <w:p w14:paraId="4478417D" w14:textId="77777777" w:rsidR="0012683C" w:rsidRPr="0012683C" w:rsidRDefault="0012683C" w:rsidP="0012683C">
      <w:pPr>
        <w:ind w:left="1440" w:hanging="720"/>
        <w:rPr>
          <w:szCs w:val="18"/>
        </w:rPr>
      </w:pPr>
      <w:r w:rsidRPr="0012683C">
        <w:rPr>
          <w:szCs w:val="18"/>
        </w:rPr>
        <w:t>d)</w:t>
      </w:r>
      <w:r w:rsidR="003139B6">
        <w:rPr>
          <w:szCs w:val="18"/>
        </w:rPr>
        <w:tab/>
      </w:r>
      <w:r w:rsidRPr="0012683C">
        <w:rPr>
          <w:szCs w:val="18"/>
        </w:rPr>
        <w:t xml:space="preserve">Monitoring and </w:t>
      </w:r>
      <w:r w:rsidR="009B53CD">
        <w:rPr>
          <w:szCs w:val="18"/>
        </w:rPr>
        <w:t>Compliance</w:t>
      </w:r>
    </w:p>
    <w:p w14:paraId="547542F5" w14:textId="77777777" w:rsidR="0012683C" w:rsidRPr="0012683C" w:rsidRDefault="0012683C" w:rsidP="0012683C">
      <w:pPr>
        <w:rPr>
          <w:szCs w:val="18"/>
        </w:rPr>
      </w:pPr>
    </w:p>
    <w:p w14:paraId="31969615" w14:textId="77777777" w:rsidR="0012683C" w:rsidRPr="0012683C" w:rsidRDefault="0012683C" w:rsidP="0012683C">
      <w:pPr>
        <w:ind w:left="2160" w:hanging="720"/>
        <w:rPr>
          <w:szCs w:val="18"/>
        </w:rPr>
      </w:pPr>
      <w:r w:rsidRPr="0012683C">
        <w:rPr>
          <w:szCs w:val="18"/>
        </w:rPr>
        <w:t>1)</w:t>
      </w:r>
      <w:r w:rsidR="003139B6">
        <w:rPr>
          <w:szCs w:val="18"/>
        </w:rPr>
        <w:tab/>
      </w:r>
      <w:r w:rsidRPr="0012683C">
        <w:rPr>
          <w:szCs w:val="18"/>
        </w:rPr>
        <w:t xml:space="preserve">Suppliers </w:t>
      </w:r>
      <w:r w:rsidR="009B53CD">
        <w:rPr>
          <w:szCs w:val="18"/>
        </w:rPr>
        <w:t>Required</w:t>
      </w:r>
      <w:r w:rsidRPr="0012683C">
        <w:rPr>
          <w:szCs w:val="18"/>
        </w:rPr>
        <w:t xml:space="preserve"> to </w:t>
      </w:r>
      <w:r w:rsidR="009B53CD">
        <w:rPr>
          <w:szCs w:val="18"/>
        </w:rPr>
        <w:t>Monitor Quarterly</w:t>
      </w:r>
      <w:r w:rsidRPr="0012683C">
        <w:rPr>
          <w:szCs w:val="18"/>
        </w:rPr>
        <w:t xml:space="preserve">.  To comply with </w:t>
      </w:r>
      <w:r w:rsidRPr="0012683C">
        <w:t>Subpart Y</w:t>
      </w:r>
      <w:r w:rsidRPr="0012683C">
        <w:rPr>
          <w:szCs w:val="18"/>
        </w:rPr>
        <w:t xml:space="preserve"> MCLs in Section 611.312(b)(2), the supplier must calculate LRAAs for TTHM and HAA5 using monitoring results collected under this Subpart Y, and it must determine that each LRAA does not exceed the MCL.  If 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79087EBD" w14:textId="77777777" w:rsidR="0012683C" w:rsidRPr="0012683C" w:rsidRDefault="0012683C" w:rsidP="0012683C">
      <w:pPr>
        <w:rPr>
          <w:szCs w:val="18"/>
        </w:rPr>
      </w:pPr>
    </w:p>
    <w:p w14:paraId="55F31411" w14:textId="77777777" w:rsidR="0012683C" w:rsidRPr="0012683C" w:rsidRDefault="0012683C" w:rsidP="0012683C">
      <w:pPr>
        <w:ind w:left="2160" w:hanging="720"/>
        <w:rPr>
          <w:szCs w:val="18"/>
        </w:rPr>
      </w:pPr>
      <w:r w:rsidRPr="0012683C">
        <w:rPr>
          <w:szCs w:val="18"/>
        </w:rPr>
        <w:t>2)</w:t>
      </w:r>
      <w:r w:rsidR="003139B6">
        <w:rPr>
          <w:szCs w:val="18"/>
        </w:rPr>
        <w:tab/>
      </w:r>
      <w:r w:rsidRPr="0012683C">
        <w:rPr>
          <w:szCs w:val="18"/>
        </w:rPr>
        <w:t xml:space="preserve">Suppliers </w:t>
      </w:r>
      <w:r w:rsidR="009B53CD">
        <w:rPr>
          <w:szCs w:val="18"/>
        </w:rPr>
        <w:t>Required</w:t>
      </w:r>
      <w:r w:rsidRPr="0012683C">
        <w:rPr>
          <w:szCs w:val="18"/>
        </w:rPr>
        <w:t xml:space="preserve"> to </w:t>
      </w:r>
      <w:r w:rsidR="009B53CD">
        <w:rPr>
          <w:szCs w:val="18"/>
        </w:rPr>
        <w:t>Monitor Yearly</w:t>
      </w:r>
      <w:r w:rsidRPr="0012683C">
        <w:rPr>
          <w:szCs w:val="18"/>
        </w:rPr>
        <w:t xml:space="preserve"> or </w:t>
      </w:r>
      <w:r w:rsidR="009B53CD">
        <w:rPr>
          <w:szCs w:val="18"/>
        </w:rPr>
        <w:t>Less Frequently</w:t>
      </w:r>
      <w:r w:rsidRPr="0012683C">
        <w:rPr>
          <w:szCs w:val="18"/>
        </w:rPr>
        <w:t xml:space="preserve">.  To determine compliance with </w:t>
      </w:r>
      <w:r w:rsidRPr="0012683C">
        <w:t>Subpart Y</w:t>
      </w:r>
      <w:r w:rsidRPr="0012683C">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6955B04E" w14:textId="77777777" w:rsidR="0012683C" w:rsidRPr="0012683C" w:rsidRDefault="0012683C" w:rsidP="0012683C">
      <w:pPr>
        <w:rPr>
          <w:szCs w:val="18"/>
        </w:rPr>
      </w:pPr>
    </w:p>
    <w:p w14:paraId="1759A244" w14:textId="77777777" w:rsidR="0012683C" w:rsidRPr="0012683C" w:rsidRDefault="0012683C" w:rsidP="0012683C">
      <w:pPr>
        <w:ind w:left="1440" w:hanging="720"/>
        <w:rPr>
          <w:szCs w:val="18"/>
        </w:rPr>
      </w:pPr>
      <w:r w:rsidRPr="0012683C">
        <w:rPr>
          <w:szCs w:val="18"/>
        </w:rPr>
        <w:t>e)</w:t>
      </w:r>
      <w:r w:rsidR="003139B6">
        <w:rPr>
          <w:szCs w:val="18"/>
        </w:rPr>
        <w:tab/>
      </w:r>
      <w:r w:rsidRPr="0012683C">
        <w:rPr>
          <w:iCs/>
          <w:szCs w:val="18"/>
        </w:rPr>
        <w:t xml:space="preserve">Violation for </w:t>
      </w:r>
      <w:r w:rsidR="009B53CD">
        <w:rPr>
          <w:iCs/>
          <w:szCs w:val="18"/>
        </w:rPr>
        <w:t>Failure</w:t>
      </w:r>
      <w:r w:rsidRPr="0012683C">
        <w:rPr>
          <w:iCs/>
          <w:szCs w:val="18"/>
        </w:rPr>
        <w:t xml:space="preserve"> to </w:t>
      </w:r>
      <w:r w:rsidR="009B53CD">
        <w:rPr>
          <w:iCs/>
          <w:szCs w:val="18"/>
        </w:rPr>
        <w:t>Monitor</w:t>
      </w:r>
      <w:r w:rsidRPr="0012683C">
        <w:rPr>
          <w:iCs/>
          <w:szCs w:val="18"/>
        </w:rPr>
        <w:t xml:space="preserve">.  </w:t>
      </w:r>
      <w:r w:rsidRPr="0012683C">
        <w:rPr>
          <w:szCs w:val="18"/>
        </w:rPr>
        <w:t>A supplier is in violation of the monitoring requirements for each quarter that a monitoring result would be used in calculating an LRAA if the supplier fails to monitor.</w:t>
      </w:r>
    </w:p>
    <w:p w14:paraId="64B2BCD4" w14:textId="77777777" w:rsidR="0012683C" w:rsidRPr="0012683C" w:rsidRDefault="0012683C" w:rsidP="0012683C">
      <w:pPr>
        <w:rPr>
          <w:szCs w:val="18"/>
        </w:rPr>
      </w:pPr>
    </w:p>
    <w:p w14:paraId="3802FEB6" w14:textId="77777777" w:rsidR="0012683C" w:rsidRPr="0012683C" w:rsidRDefault="0012683C" w:rsidP="00DB0257">
      <w:pPr>
        <w:ind w:firstLine="720"/>
      </w:pPr>
      <w:r w:rsidRPr="0012683C">
        <w:t>BOARD NOTE:  Derived from 40 CFR 141.620.</w:t>
      </w:r>
    </w:p>
    <w:p w14:paraId="65F262F5" w14:textId="77777777" w:rsidR="001C71C2" w:rsidRPr="00DB369A" w:rsidRDefault="001C71C2" w:rsidP="00DE1838"/>
    <w:p w14:paraId="1ECB3EDA" w14:textId="0F0FAFE1" w:rsidR="00A33AB5" w:rsidRDefault="00B725B2" w:rsidP="00A33AB5">
      <w:pPr>
        <w:pStyle w:val="JCARSourceNote"/>
        <w:ind w:left="720"/>
      </w:pPr>
      <w:r w:rsidRPr="004E27CF">
        <w:t xml:space="preserve">(Source:  Amended at </w:t>
      </w:r>
      <w:r w:rsidR="00303C76">
        <w:t>50</w:t>
      </w:r>
      <w:r w:rsidRPr="004E27CF">
        <w:t xml:space="preserve"> Ill. Reg. </w:t>
      </w:r>
      <w:r w:rsidR="000926BE">
        <w:t>2531</w:t>
      </w:r>
      <w:r w:rsidRPr="004E27CF">
        <w:t xml:space="preserve">, effective </w:t>
      </w:r>
      <w:r w:rsidR="000926BE">
        <w:t>February 17, 2026</w:t>
      </w:r>
      <w:r w:rsidRPr="004E27CF">
        <w:t>)</w:t>
      </w:r>
    </w:p>
    <w:sectPr w:rsidR="00A33A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06FF" w14:textId="77777777" w:rsidR="00477639" w:rsidRDefault="00477639">
      <w:r>
        <w:separator/>
      </w:r>
    </w:p>
  </w:endnote>
  <w:endnote w:type="continuationSeparator" w:id="0">
    <w:p w14:paraId="602F9376" w14:textId="77777777" w:rsidR="00477639" w:rsidRDefault="0047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EF9C" w14:textId="77777777" w:rsidR="00477639" w:rsidRDefault="00477639">
      <w:r>
        <w:separator/>
      </w:r>
    </w:p>
  </w:footnote>
  <w:footnote w:type="continuationSeparator" w:id="0">
    <w:p w14:paraId="0A3D77F6" w14:textId="77777777" w:rsidR="00477639" w:rsidRDefault="00477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2D5D"/>
    <w:rsid w:val="00001F1D"/>
    <w:rsid w:val="00003CEF"/>
    <w:rsid w:val="00010669"/>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442B"/>
    <w:rsid w:val="000765E0"/>
    <w:rsid w:val="00083E97"/>
    <w:rsid w:val="0008689B"/>
    <w:rsid w:val="000926BE"/>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49E"/>
    <w:rsid w:val="000E7A0A"/>
    <w:rsid w:val="000F25A1"/>
    <w:rsid w:val="00103C24"/>
    <w:rsid w:val="00110A0B"/>
    <w:rsid w:val="00114190"/>
    <w:rsid w:val="001221AE"/>
    <w:rsid w:val="0012221A"/>
    <w:rsid w:val="0012683C"/>
    <w:rsid w:val="001328A0"/>
    <w:rsid w:val="0014104E"/>
    <w:rsid w:val="00145C78"/>
    <w:rsid w:val="00146F30"/>
    <w:rsid w:val="0015097E"/>
    <w:rsid w:val="00153DEA"/>
    <w:rsid w:val="00154F65"/>
    <w:rsid w:val="00155217"/>
    <w:rsid w:val="00155905"/>
    <w:rsid w:val="00163EEE"/>
    <w:rsid w:val="00164756"/>
    <w:rsid w:val="00165CF9"/>
    <w:rsid w:val="00170FE3"/>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6B0"/>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3C76"/>
    <w:rsid w:val="00305AAE"/>
    <w:rsid w:val="00311C50"/>
    <w:rsid w:val="003139B6"/>
    <w:rsid w:val="00314233"/>
    <w:rsid w:val="00322AC2"/>
    <w:rsid w:val="00323B50"/>
    <w:rsid w:val="00324AD4"/>
    <w:rsid w:val="00327B81"/>
    <w:rsid w:val="00336944"/>
    <w:rsid w:val="00337BB9"/>
    <w:rsid w:val="00337CEB"/>
    <w:rsid w:val="00350372"/>
    <w:rsid w:val="003541F8"/>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6517B"/>
    <w:rsid w:val="0047017E"/>
    <w:rsid w:val="00471475"/>
    <w:rsid w:val="00471A17"/>
    <w:rsid w:val="00471D11"/>
    <w:rsid w:val="004724DC"/>
    <w:rsid w:val="00475AE2"/>
    <w:rsid w:val="00477639"/>
    <w:rsid w:val="00477B8E"/>
    <w:rsid w:val="0048329A"/>
    <w:rsid w:val="00483B7F"/>
    <w:rsid w:val="0048457F"/>
    <w:rsid w:val="004925CE"/>
    <w:rsid w:val="00493C66"/>
    <w:rsid w:val="0049486A"/>
    <w:rsid w:val="004A2DF2"/>
    <w:rsid w:val="004B0153"/>
    <w:rsid w:val="004B41BC"/>
    <w:rsid w:val="004B6FF4"/>
    <w:rsid w:val="004D6EED"/>
    <w:rsid w:val="004D73D3"/>
    <w:rsid w:val="004E1654"/>
    <w:rsid w:val="004E49DF"/>
    <w:rsid w:val="004E513F"/>
    <w:rsid w:val="005001C5"/>
    <w:rsid w:val="005039E7"/>
    <w:rsid w:val="0050660E"/>
    <w:rsid w:val="005109B5"/>
    <w:rsid w:val="00511943"/>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2A43"/>
    <w:rsid w:val="005D35F3"/>
    <w:rsid w:val="005D6409"/>
    <w:rsid w:val="005E03A7"/>
    <w:rsid w:val="005E3D55"/>
    <w:rsid w:val="005F2891"/>
    <w:rsid w:val="006132CE"/>
    <w:rsid w:val="00620BBA"/>
    <w:rsid w:val="006247D4"/>
    <w:rsid w:val="00631875"/>
    <w:rsid w:val="00634D17"/>
    <w:rsid w:val="00641AEA"/>
    <w:rsid w:val="0064660E"/>
    <w:rsid w:val="00651FF5"/>
    <w:rsid w:val="00665906"/>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536B"/>
    <w:rsid w:val="006F7BF8"/>
    <w:rsid w:val="00700FB4"/>
    <w:rsid w:val="00702A38"/>
    <w:rsid w:val="0070602C"/>
    <w:rsid w:val="00717DBE"/>
    <w:rsid w:val="00720025"/>
    <w:rsid w:val="00727763"/>
    <w:rsid w:val="007278C5"/>
    <w:rsid w:val="00737469"/>
    <w:rsid w:val="00740CDB"/>
    <w:rsid w:val="00750400"/>
    <w:rsid w:val="00751A2F"/>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64C3"/>
    <w:rsid w:val="0098276C"/>
    <w:rsid w:val="00983C53"/>
    <w:rsid w:val="00994782"/>
    <w:rsid w:val="009A26DA"/>
    <w:rsid w:val="009B45F6"/>
    <w:rsid w:val="009B53CD"/>
    <w:rsid w:val="009B6ECA"/>
    <w:rsid w:val="009C1A93"/>
    <w:rsid w:val="009C5170"/>
    <w:rsid w:val="009C69DD"/>
    <w:rsid w:val="009C7CA2"/>
    <w:rsid w:val="009D219C"/>
    <w:rsid w:val="009D4E6C"/>
    <w:rsid w:val="009E4AE1"/>
    <w:rsid w:val="009E4EBC"/>
    <w:rsid w:val="009F1070"/>
    <w:rsid w:val="009F6985"/>
    <w:rsid w:val="00A022DE"/>
    <w:rsid w:val="00A048D9"/>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3AB5"/>
    <w:rsid w:val="00A3646E"/>
    <w:rsid w:val="00A42797"/>
    <w:rsid w:val="00A52BDD"/>
    <w:rsid w:val="00A600AA"/>
    <w:rsid w:val="00A60320"/>
    <w:rsid w:val="00A623FE"/>
    <w:rsid w:val="00A72534"/>
    <w:rsid w:val="00A809C5"/>
    <w:rsid w:val="00A86FF6"/>
    <w:rsid w:val="00A87EC5"/>
    <w:rsid w:val="00A928A7"/>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766"/>
    <w:rsid w:val="00B15414"/>
    <w:rsid w:val="00B17D78"/>
    <w:rsid w:val="00B23B52"/>
    <w:rsid w:val="00B2411F"/>
    <w:rsid w:val="00B35D67"/>
    <w:rsid w:val="00B420C1"/>
    <w:rsid w:val="00B4287F"/>
    <w:rsid w:val="00B42D5D"/>
    <w:rsid w:val="00B44A11"/>
    <w:rsid w:val="00B516F7"/>
    <w:rsid w:val="00B530BA"/>
    <w:rsid w:val="00B557AA"/>
    <w:rsid w:val="00B620B6"/>
    <w:rsid w:val="00B649AC"/>
    <w:rsid w:val="00B66F59"/>
    <w:rsid w:val="00B678F1"/>
    <w:rsid w:val="00B71019"/>
    <w:rsid w:val="00B71177"/>
    <w:rsid w:val="00B725B2"/>
    <w:rsid w:val="00B77077"/>
    <w:rsid w:val="00B817A1"/>
    <w:rsid w:val="00B839A1"/>
    <w:rsid w:val="00B83B6B"/>
    <w:rsid w:val="00B8444F"/>
    <w:rsid w:val="00B86B5A"/>
    <w:rsid w:val="00BB0A4F"/>
    <w:rsid w:val="00BB230E"/>
    <w:rsid w:val="00BC00FF"/>
    <w:rsid w:val="00BD0ED2"/>
    <w:rsid w:val="00BE03CA"/>
    <w:rsid w:val="00BE40A3"/>
    <w:rsid w:val="00BF13E5"/>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714B"/>
    <w:rsid w:val="00C60D0B"/>
    <w:rsid w:val="00C67B51"/>
    <w:rsid w:val="00C72A95"/>
    <w:rsid w:val="00C72C0C"/>
    <w:rsid w:val="00C73CD4"/>
    <w:rsid w:val="00C86122"/>
    <w:rsid w:val="00C9697B"/>
    <w:rsid w:val="00CA1E98"/>
    <w:rsid w:val="00CA2022"/>
    <w:rsid w:val="00CA3AA0"/>
    <w:rsid w:val="00CA4E7D"/>
    <w:rsid w:val="00CA7140"/>
    <w:rsid w:val="00CB065C"/>
    <w:rsid w:val="00CB5815"/>
    <w:rsid w:val="00CC13F9"/>
    <w:rsid w:val="00CC4FF8"/>
    <w:rsid w:val="00CD3723"/>
    <w:rsid w:val="00CD5413"/>
    <w:rsid w:val="00CE4292"/>
    <w:rsid w:val="00CF5335"/>
    <w:rsid w:val="00D03A79"/>
    <w:rsid w:val="00D0676C"/>
    <w:rsid w:val="00D2155A"/>
    <w:rsid w:val="00D27015"/>
    <w:rsid w:val="00D2776C"/>
    <w:rsid w:val="00D27E4E"/>
    <w:rsid w:val="00D32AA7"/>
    <w:rsid w:val="00D33832"/>
    <w:rsid w:val="00D46468"/>
    <w:rsid w:val="00D539F7"/>
    <w:rsid w:val="00D55B37"/>
    <w:rsid w:val="00D5634E"/>
    <w:rsid w:val="00D56F2D"/>
    <w:rsid w:val="00D64B08"/>
    <w:rsid w:val="00D70D8F"/>
    <w:rsid w:val="00D70F01"/>
    <w:rsid w:val="00D76B84"/>
    <w:rsid w:val="00D77DCF"/>
    <w:rsid w:val="00D876AB"/>
    <w:rsid w:val="00D93C67"/>
    <w:rsid w:val="00D94587"/>
    <w:rsid w:val="00D97042"/>
    <w:rsid w:val="00D97549"/>
    <w:rsid w:val="00DB0257"/>
    <w:rsid w:val="00DB0C8A"/>
    <w:rsid w:val="00DB2CC7"/>
    <w:rsid w:val="00DB369A"/>
    <w:rsid w:val="00DB78E4"/>
    <w:rsid w:val="00DC016D"/>
    <w:rsid w:val="00DC5FDC"/>
    <w:rsid w:val="00DD3C9D"/>
    <w:rsid w:val="00DE1838"/>
    <w:rsid w:val="00DE3439"/>
    <w:rsid w:val="00DF0813"/>
    <w:rsid w:val="00DF25BD"/>
    <w:rsid w:val="00E02222"/>
    <w:rsid w:val="00E11728"/>
    <w:rsid w:val="00E24167"/>
    <w:rsid w:val="00E24878"/>
    <w:rsid w:val="00E320F5"/>
    <w:rsid w:val="00E34B29"/>
    <w:rsid w:val="00E406C7"/>
    <w:rsid w:val="00E40FDC"/>
    <w:rsid w:val="00E41211"/>
    <w:rsid w:val="00E4457E"/>
    <w:rsid w:val="00E47B6D"/>
    <w:rsid w:val="00E7024C"/>
    <w:rsid w:val="00E7288E"/>
    <w:rsid w:val="00E73826"/>
    <w:rsid w:val="00E7596C"/>
    <w:rsid w:val="00E840DC"/>
    <w:rsid w:val="00E92947"/>
    <w:rsid w:val="00EA0761"/>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4AA0"/>
    <w:rsid w:val="00F410DA"/>
    <w:rsid w:val="00F43DEE"/>
    <w:rsid w:val="00F44D59"/>
    <w:rsid w:val="00F46DB5"/>
    <w:rsid w:val="00F50ADF"/>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0DED"/>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AA875"/>
  <w15:docId w15:val="{E7F07025-D59A-490A-84E9-DE432407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12683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2683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418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