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C636" w14:textId="77777777" w:rsidR="004A27BE" w:rsidRPr="004A27BE" w:rsidRDefault="004A27BE" w:rsidP="004A27BE">
      <w:pPr>
        <w:rPr>
          <w:b/>
        </w:rPr>
      </w:pPr>
    </w:p>
    <w:p w14:paraId="6E210AEA" w14:textId="77777777" w:rsidR="004A27BE" w:rsidRPr="004A27BE" w:rsidRDefault="004A27BE" w:rsidP="004A27BE">
      <w:pPr>
        <w:rPr>
          <w:b/>
        </w:rPr>
      </w:pPr>
      <w:r w:rsidRPr="004A27BE">
        <w:rPr>
          <w:b/>
        </w:rPr>
        <w:t>Section 611.921</w:t>
      </w:r>
      <w:r>
        <w:rPr>
          <w:b/>
        </w:rPr>
        <w:t xml:space="preserve">  </w:t>
      </w:r>
      <w:r w:rsidRPr="004A27BE">
        <w:rPr>
          <w:b/>
        </w:rPr>
        <w:t>Standard Monitoring</w:t>
      </w:r>
    </w:p>
    <w:p w14:paraId="04AC923F" w14:textId="77777777" w:rsidR="004A27BE" w:rsidRPr="004A27BE" w:rsidRDefault="004A27BE" w:rsidP="004A27BE"/>
    <w:p w14:paraId="6B732944" w14:textId="77777777" w:rsidR="004A27BE" w:rsidRPr="004A27BE" w:rsidRDefault="004A27BE" w:rsidP="004A27BE">
      <w:pPr>
        <w:ind w:left="1440" w:hanging="720"/>
        <w:rPr>
          <w:szCs w:val="18"/>
        </w:rPr>
      </w:pPr>
      <w:r w:rsidRPr="004A27BE">
        <w:t>a)</w:t>
      </w:r>
      <w:r>
        <w:tab/>
      </w:r>
      <w:r w:rsidRPr="004A27BE">
        <w:rPr>
          <w:szCs w:val="18"/>
        </w:rPr>
        <w:t xml:space="preserve">Standard </w:t>
      </w:r>
      <w:r w:rsidR="00D641E3">
        <w:rPr>
          <w:szCs w:val="18"/>
        </w:rPr>
        <w:t>Monitoring Plan</w:t>
      </w:r>
      <w:r w:rsidRPr="004A27BE">
        <w:rPr>
          <w:szCs w:val="18"/>
        </w:rPr>
        <w:t xml:space="preserve">. </w:t>
      </w:r>
      <w:r w:rsidRPr="004A27BE">
        <w:rPr>
          <w:iCs/>
          <w:szCs w:val="18"/>
        </w:rPr>
        <w:t xml:space="preserve"> </w:t>
      </w:r>
      <w:r w:rsidRPr="004A27BE">
        <w:rPr>
          <w:szCs w:val="18"/>
        </w:rPr>
        <w:t>A supplier</w:t>
      </w:r>
      <w:r>
        <w:rPr>
          <w:szCs w:val="18"/>
        </w:rPr>
        <w:t>'</w:t>
      </w:r>
      <w:r w:rsidRPr="004A27BE">
        <w:rPr>
          <w:szCs w:val="18"/>
        </w:rPr>
        <w:t>s standard monitoring plan must comply with subsections (a)(1) through (a)(4).  The supplier must prepare and submit its standard monitoring plan to the Agency according to the appropriate of the schedules provided in Section 611.920(c).</w:t>
      </w:r>
    </w:p>
    <w:p w14:paraId="3C030040" w14:textId="77777777" w:rsidR="004A27BE" w:rsidRPr="004A27BE" w:rsidRDefault="004A27BE" w:rsidP="004A27BE">
      <w:pPr>
        <w:rPr>
          <w:szCs w:val="18"/>
        </w:rPr>
      </w:pPr>
    </w:p>
    <w:p w14:paraId="5A2D7C7A" w14:textId="77777777" w:rsidR="004A27BE" w:rsidRPr="004A27BE" w:rsidRDefault="004A27BE" w:rsidP="004A27BE">
      <w:pPr>
        <w:ind w:left="2160" w:hanging="720"/>
        <w:rPr>
          <w:szCs w:val="18"/>
        </w:rPr>
      </w:pPr>
      <w:r w:rsidRPr="004A27BE">
        <w:rPr>
          <w:szCs w:val="18"/>
        </w:rPr>
        <w:t>1)</w:t>
      </w:r>
      <w:r>
        <w:rPr>
          <w:szCs w:val="18"/>
        </w:rPr>
        <w:tab/>
      </w:r>
      <w:r w:rsidRPr="004A27BE">
        <w:rPr>
          <w:szCs w:val="18"/>
        </w:rPr>
        <w:t>The supplier</w:t>
      </w:r>
      <w:r>
        <w:rPr>
          <w:szCs w:val="18"/>
        </w:rPr>
        <w:t>'</w:t>
      </w:r>
      <w:r w:rsidRPr="004A27BE">
        <w:rPr>
          <w:szCs w:val="18"/>
        </w:rPr>
        <w:t>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1E0D3D5F" w14:textId="77777777" w:rsidR="004A27BE" w:rsidRPr="004A27BE" w:rsidRDefault="004A27BE" w:rsidP="004A27BE">
      <w:pPr>
        <w:rPr>
          <w:szCs w:val="18"/>
        </w:rPr>
      </w:pPr>
    </w:p>
    <w:p w14:paraId="7CF8324F" w14:textId="77777777" w:rsidR="004A27BE" w:rsidRPr="004A27BE" w:rsidRDefault="004A27BE" w:rsidP="004A27BE">
      <w:pPr>
        <w:ind w:left="2160" w:hanging="720"/>
        <w:rPr>
          <w:szCs w:val="18"/>
        </w:rPr>
      </w:pPr>
      <w:r w:rsidRPr="004A27BE">
        <w:rPr>
          <w:szCs w:val="18"/>
        </w:rPr>
        <w:t>2)</w:t>
      </w:r>
      <w:r>
        <w:rPr>
          <w:szCs w:val="18"/>
        </w:rPr>
        <w:tab/>
      </w:r>
      <w:r w:rsidRPr="004A27BE">
        <w:rPr>
          <w:szCs w:val="18"/>
        </w:rPr>
        <w:t>The supplier</w:t>
      </w:r>
      <w:r>
        <w:rPr>
          <w:szCs w:val="18"/>
        </w:rPr>
        <w:t>'</w:t>
      </w:r>
      <w:r w:rsidRPr="004A27BE">
        <w:rPr>
          <w:szCs w:val="18"/>
        </w:rPr>
        <w:t>s standard monitoring plan must include justification of standard monitoring location selection and a summary of data the supplier relied on to justify standard monitoring location selection.</w:t>
      </w:r>
    </w:p>
    <w:p w14:paraId="58AF07DE" w14:textId="77777777" w:rsidR="004A27BE" w:rsidRPr="004A27BE" w:rsidRDefault="004A27BE" w:rsidP="004A27BE">
      <w:pPr>
        <w:rPr>
          <w:szCs w:val="18"/>
        </w:rPr>
      </w:pPr>
    </w:p>
    <w:p w14:paraId="4DCDC390" w14:textId="77777777" w:rsidR="004A27BE" w:rsidRPr="004A27BE" w:rsidRDefault="004A27BE" w:rsidP="004A27BE">
      <w:pPr>
        <w:ind w:left="2160" w:hanging="720"/>
        <w:rPr>
          <w:szCs w:val="18"/>
        </w:rPr>
      </w:pPr>
      <w:r w:rsidRPr="004A27BE">
        <w:rPr>
          <w:szCs w:val="18"/>
        </w:rPr>
        <w:t>3)</w:t>
      </w:r>
      <w:r>
        <w:rPr>
          <w:szCs w:val="18"/>
        </w:rPr>
        <w:tab/>
      </w:r>
      <w:r w:rsidRPr="004A27BE">
        <w:rPr>
          <w:szCs w:val="18"/>
        </w:rPr>
        <w:t>The supplier</w:t>
      </w:r>
      <w:r>
        <w:rPr>
          <w:szCs w:val="18"/>
        </w:rPr>
        <w:t>'</w:t>
      </w:r>
      <w:r w:rsidRPr="004A27BE">
        <w:rPr>
          <w:szCs w:val="18"/>
        </w:rPr>
        <w:t>s standard monitoring plan must specify the population served and its system type (i.e., that it is a Subpart B or groundwater system).</w:t>
      </w:r>
    </w:p>
    <w:p w14:paraId="69D44513" w14:textId="77777777" w:rsidR="004A27BE" w:rsidRPr="004A27BE" w:rsidRDefault="004A27BE" w:rsidP="004A27BE">
      <w:pPr>
        <w:rPr>
          <w:szCs w:val="18"/>
        </w:rPr>
      </w:pPr>
    </w:p>
    <w:p w14:paraId="0F6ADAF9" w14:textId="7478F071" w:rsidR="004A27BE" w:rsidRPr="004A27BE" w:rsidRDefault="004A27BE" w:rsidP="004A27BE">
      <w:pPr>
        <w:ind w:left="2160" w:hanging="720"/>
        <w:rPr>
          <w:szCs w:val="18"/>
        </w:rPr>
      </w:pPr>
      <w:r w:rsidRPr="004A27BE">
        <w:rPr>
          <w:szCs w:val="18"/>
        </w:rPr>
        <w:t>4)</w:t>
      </w:r>
      <w:r>
        <w:rPr>
          <w:szCs w:val="18"/>
        </w:rPr>
        <w:tab/>
      </w:r>
      <w:r w:rsidRPr="004A27BE">
        <w:rPr>
          <w:szCs w:val="18"/>
        </w:rPr>
        <w:t xml:space="preserve">The supplier must </w:t>
      </w:r>
      <w:r w:rsidR="00B92241">
        <w:rPr>
          <w:szCs w:val="18"/>
        </w:rPr>
        <w:t>keep</w:t>
      </w:r>
      <w:r w:rsidRPr="004A27BE">
        <w:rPr>
          <w:szCs w:val="18"/>
        </w:rPr>
        <w:t xml:space="preserve"> a complete copy of its standard monitoring plan submitted under this subsection (a), including any Agency modification of the plan, for as long as the supplier is required to </w:t>
      </w:r>
      <w:r w:rsidR="00B92241">
        <w:rPr>
          <w:szCs w:val="18"/>
        </w:rPr>
        <w:t>keep</w:t>
      </w:r>
      <w:r w:rsidRPr="004A27BE">
        <w:rPr>
          <w:szCs w:val="18"/>
        </w:rPr>
        <w:t xml:space="preserve"> its IDSE report under subsection (c)(4).</w:t>
      </w:r>
    </w:p>
    <w:p w14:paraId="115F399C" w14:textId="77777777" w:rsidR="004A27BE" w:rsidRPr="004A27BE" w:rsidRDefault="004A27BE" w:rsidP="004A27BE">
      <w:pPr>
        <w:rPr>
          <w:szCs w:val="18"/>
        </w:rPr>
      </w:pPr>
    </w:p>
    <w:p w14:paraId="0D31BD2A" w14:textId="77777777" w:rsidR="004A27BE" w:rsidRPr="004A27BE" w:rsidRDefault="004A27BE" w:rsidP="004A27BE">
      <w:pPr>
        <w:ind w:left="1440" w:hanging="720"/>
        <w:rPr>
          <w:szCs w:val="18"/>
        </w:rPr>
      </w:pPr>
      <w:r w:rsidRPr="004A27BE">
        <w:rPr>
          <w:szCs w:val="18"/>
        </w:rPr>
        <w:t>b)</w:t>
      </w:r>
      <w:r>
        <w:rPr>
          <w:szCs w:val="18"/>
        </w:rPr>
        <w:tab/>
      </w:r>
      <w:r w:rsidRPr="004A27BE">
        <w:rPr>
          <w:iCs/>
          <w:szCs w:val="18"/>
        </w:rPr>
        <w:t xml:space="preserve">Standard </w:t>
      </w:r>
      <w:r w:rsidR="00D641E3">
        <w:rPr>
          <w:iCs/>
          <w:szCs w:val="18"/>
        </w:rPr>
        <w:t>Monitoring</w:t>
      </w:r>
    </w:p>
    <w:p w14:paraId="48329D2B" w14:textId="77777777" w:rsidR="004A27BE" w:rsidRPr="004A27BE" w:rsidRDefault="004A27BE" w:rsidP="004A27BE">
      <w:pPr>
        <w:rPr>
          <w:szCs w:val="18"/>
        </w:rPr>
      </w:pPr>
    </w:p>
    <w:p w14:paraId="58C45B34" w14:textId="77777777" w:rsidR="004A27BE" w:rsidRPr="004A27BE" w:rsidRDefault="004A27BE" w:rsidP="004A27BE">
      <w:pPr>
        <w:ind w:left="2160" w:hanging="720"/>
      </w:pPr>
      <w:r w:rsidRPr="004A27BE">
        <w:rPr>
          <w:szCs w:val="18"/>
        </w:rPr>
        <w:t>1)</w:t>
      </w:r>
      <w:r>
        <w:rPr>
          <w:szCs w:val="18"/>
        </w:rPr>
        <w:tab/>
      </w:r>
      <w:r w:rsidRPr="004A27BE">
        <w:rPr>
          <w:szCs w:val="18"/>
        </w:rPr>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7FEBB8E5" w14:textId="77777777" w:rsidR="004A27BE" w:rsidRPr="004A27BE" w:rsidRDefault="004A27BE" w:rsidP="004A27BE"/>
    <w:p w14:paraId="112135AF" w14:textId="5EAD1237" w:rsidR="004A27BE" w:rsidRPr="004A27BE" w:rsidRDefault="004A27BE" w:rsidP="004A27BE">
      <w:pPr>
        <w:ind w:left="2880" w:hanging="720"/>
      </w:pPr>
      <w:r w:rsidRPr="004A27BE">
        <w:t>A)</w:t>
      </w:r>
      <w:r>
        <w:tab/>
      </w:r>
      <w:r w:rsidRPr="004A27BE">
        <w:t xml:space="preserve">A Subpart B system supplier that serves fewer than 500 persons and </w:t>
      </w:r>
      <w:r w:rsidR="00416E1B">
        <w:t>that</w:t>
      </w:r>
      <w:r w:rsidRPr="004A27BE">
        <w:t xml:space="preserve"> operates a consecutive system must collect samples once each calendar year during the peak historical month:  one near an entry point to the distribution system and one at a high TTHM location, for a total of two samples during each monitoring period.</w:t>
      </w:r>
    </w:p>
    <w:p w14:paraId="4215443B" w14:textId="77777777" w:rsidR="004A27BE" w:rsidRPr="004A27BE" w:rsidRDefault="004A27BE" w:rsidP="004A27BE"/>
    <w:p w14:paraId="44E7541D" w14:textId="30A0A8DD" w:rsidR="004A27BE" w:rsidRPr="004A27BE" w:rsidRDefault="004A27BE" w:rsidP="004A27BE">
      <w:pPr>
        <w:ind w:left="2880" w:hanging="720"/>
      </w:pPr>
      <w:r w:rsidRPr="004A27BE">
        <w:lastRenderedPageBreak/>
        <w:t>B)</w:t>
      </w:r>
      <w:r>
        <w:tab/>
      </w:r>
      <w:r w:rsidRPr="004A27BE">
        <w:t xml:space="preserve">A Subpart B system supplier that serves fewer than 500 persons and </w:t>
      </w:r>
      <w:r w:rsidR="00416E1B">
        <w:t>that</w:t>
      </w:r>
      <w:r w:rsidRPr="004A27BE">
        <w:t xml:space="preserve"> does not operate a consecutive system must collect samples once each calendar year during the peak historical month:  one at a high TTHM location and one at a high HAA5 location, for a total of two samples during each monitoring period.</w:t>
      </w:r>
    </w:p>
    <w:p w14:paraId="7992BDB7" w14:textId="77777777" w:rsidR="004A27BE" w:rsidRPr="004A27BE" w:rsidRDefault="004A27BE" w:rsidP="004A27BE"/>
    <w:p w14:paraId="0D8505E0" w14:textId="1E7AFACF" w:rsidR="004A27BE" w:rsidRPr="004A27BE" w:rsidRDefault="004A27BE" w:rsidP="004A27BE">
      <w:pPr>
        <w:ind w:left="2880" w:hanging="720"/>
      </w:pPr>
      <w:r w:rsidRPr="004A27BE">
        <w:t>C)</w:t>
      </w:r>
      <w:r>
        <w:tab/>
      </w:r>
      <w:r w:rsidRPr="004A27BE">
        <w:t xml:space="preserve">A Subpart B system supplier that serves 500 to 3,300 persons and </w:t>
      </w:r>
      <w:r w:rsidR="00416E1B">
        <w:t>that</w:t>
      </w:r>
      <w:r w:rsidRPr="004A27BE">
        <w:t xml:space="preserve"> operates a consecutive system must collect samples four times each calendar year (once every 90 days):  one near an entry point to the distribution system and one at a high TTHM location, for a total of two samples during each monitoring period.</w:t>
      </w:r>
    </w:p>
    <w:p w14:paraId="433F2789" w14:textId="77777777" w:rsidR="004A27BE" w:rsidRPr="004A27BE" w:rsidRDefault="004A27BE" w:rsidP="004A27BE"/>
    <w:p w14:paraId="68DC7F58" w14:textId="6EF4867A" w:rsidR="004A27BE" w:rsidRPr="004A27BE" w:rsidRDefault="004A27BE" w:rsidP="004A27BE">
      <w:pPr>
        <w:ind w:left="2880" w:hanging="720"/>
      </w:pPr>
      <w:r w:rsidRPr="004A27BE">
        <w:t>D)</w:t>
      </w:r>
      <w:r>
        <w:tab/>
      </w:r>
      <w:r w:rsidRPr="004A27BE">
        <w:t xml:space="preserve">A Subpart B system supplier that serves 500 to 3,300 persons and </w:t>
      </w:r>
      <w:r w:rsidR="00416E1B">
        <w:t>that</w:t>
      </w:r>
      <w:r w:rsidRPr="004A27BE">
        <w:t xml:space="preserve"> </w:t>
      </w:r>
      <w:r w:rsidR="002E0EA9">
        <w:t xml:space="preserve">does not </w:t>
      </w:r>
      <w:r w:rsidRPr="004A27BE">
        <w:t>operate a consecutive system must collect samples four times each calendar year (once every 90 days):  one at a high TTHM location and one at a high HAA5 location, for a total of two samples during each monitoring period.</w:t>
      </w:r>
    </w:p>
    <w:p w14:paraId="6E0E453B" w14:textId="77777777" w:rsidR="004A27BE" w:rsidRPr="004A27BE" w:rsidRDefault="004A27BE" w:rsidP="004A27BE"/>
    <w:p w14:paraId="3482E8B6" w14:textId="77777777" w:rsidR="004A27BE" w:rsidRPr="004A27BE" w:rsidRDefault="004A27BE" w:rsidP="004A27BE">
      <w:pPr>
        <w:ind w:left="2880" w:hanging="720"/>
      </w:pPr>
      <w:r w:rsidRPr="004A27BE">
        <w:t>E)</w:t>
      </w:r>
      <w:r>
        <w:tab/>
      </w:r>
      <w:r w:rsidRPr="004A27BE">
        <w:t>A Subpart B system supplier that serves 3,301 to 9,999 persons must collect samples four times each calendar year (once every 90 days):  one at a location in the distribution system that represents the average residence time, two at high TTHM locations, and one at a high HAA5 location, for a total of four samples during each monitoring period.</w:t>
      </w:r>
    </w:p>
    <w:p w14:paraId="1D2666C3" w14:textId="77777777" w:rsidR="004A27BE" w:rsidRPr="004A27BE" w:rsidRDefault="004A27BE" w:rsidP="004A27BE"/>
    <w:p w14:paraId="6540F5BE" w14:textId="77777777" w:rsidR="004A27BE" w:rsidRPr="004A27BE" w:rsidRDefault="004A27BE" w:rsidP="004A27BE">
      <w:pPr>
        <w:ind w:left="2880" w:hanging="720"/>
      </w:pPr>
      <w:r w:rsidRPr="004A27BE">
        <w:t>F)</w:t>
      </w:r>
      <w:r>
        <w:tab/>
      </w:r>
      <w:r w:rsidRPr="004A27BE">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08206EFD" w14:textId="77777777" w:rsidR="004A27BE" w:rsidRPr="004A27BE" w:rsidRDefault="004A27BE" w:rsidP="004A27BE"/>
    <w:p w14:paraId="5F4EA824" w14:textId="77777777" w:rsidR="004A27BE" w:rsidRPr="004A27BE" w:rsidRDefault="004A27BE" w:rsidP="004A27BE">
      <w:pPr>
        <w:ind w:left="2880" w:hanging="720"/>
      </w:pPr>
      <w:r w:rsidRPr="004A27BE">
        <w:t>G)</w:t>
      </w:r>
      <w:r>
        <w:tab/>
      </w:r>
      <w:r w:rsidRPr="004A27BE">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67954AD0" w14:textId="77777777" w:rsidR="004A27BE" w:rsidRPr="004A27BE" w:rsidRDefault="004A27BE" w:rsidP="004A27BE"/>
    <w:p w14:paraId="6563F051" w14:textId="77777777" w:rsidR="004A27BE" w:rsidRPr="004A27BE" w:rsidRDefault="004A27BE" w:rsidP="004A27BE">
      <w:pPr>
        <w:ind w:left="2880" w:hanging="720"/>
      </w:pPr>
      <w:r w:rsidRPr="004A27BE">
        <w:t>H)</w:t>
      </w:r>
      <w:r>
        <w:tab/>
      </w:r>
      <w:r w:rsidRPr="004A27BE">
        <w:t xml:space="preserve">A Subpart B system supplier that serves 250,000 to 999,999 persons must collect samples six times each calendar year (once every 60 days):  four near entry points to the distribution system, six at locations in the distribution system that represent the average residence time, eight at high TTHM locations, and six at high </w:t>
      </w:r>
      <w:r w:rsidRPr="004A27BE">
        <w:lastRenderedPageBreak/>
        <w:t>HAA5 locations, for a total of 24 samples during each monitoring period.</w:t>
      </w:r>
    </w:p>
    <w:p w14:paraId="46073CB3" w14:textId="77777777" w:rsidR="004A27BE" w:rsidRPr="004A27BE" w:rsidRDefault="004A27BE" w:rsidP="004A27BE"/>
    <w:p w14:paraId="1EB080BC" w14:textId="77777777" w:rsidR="004A27BE" w:rsidRPr="004A27BE" w:rsidRDefault="004A27BE" w:rsidP="004A27BE">
      <w:pPr>
        <w:ind w:left="2880" w:hanging="720"/>
      </w:pPr>
      <w:r w:rsidRPr="004A27BE">
        <w:t>I)</w:t>
      </w:r>
      <w:r>
        <w:tab/>
      </w:r>
      <w:r w:rsidRPr="004A27BE">
        <w:t xml:space="preserve">A Subpart B system supplier that serves 1,000,000 to 4,999,999 persons must collect samples six times each calendar year (once every 60 days):  six near entry points to the distribution system, eight at locations in the distribution system that represent the average residence time, </w:t>
      </w:r>
      <w:r w:rsidR="00D641E3">
        <w:t>ten</w:t>
      </w:r>
      <w:r w:rsidRPr="004A27BE">
        <w:t xml:space="preserve"> at high TTHM locations, and eight at high HAA5 locations, for a total of 32 samples during each monitoring period.</w:t>
      </w:r>
    </w:p>
    <w:p w14:paraId="744780BD" w14:textId="77777777" w:rsidR="004A27BE" w:rsidRPr="004A27BE" w:rsidRDefault="004A27BE" w:rsidP="004A27BE"/>
    <w:p w14:paraId="7622C7B2" w14:textId="77777777" w:rsidR="004A27BE" w:rsidRPr="004A27BE" w:rsidRDefault="004A27BE" w:rsidP="004A27BE">
      <w:pPr>
        <w:ind w:left="2880" w:hanging="720"/>
      </w:pPr>
      <w:r w:rsidRPr="004A27BE">
        <w:t>J)</w:t>
      </w:r>
      <w:r>
        <w:tab/>
      </w:r>
      <w:r w:rsidRPr="004A27BE">
        <w:t xml:space="preserve">A Subpart B system supplier that serves 5,000,000 or more persons must collect samples six times each calendar year (once every 60 days):  eight near entry points to the distribution system, </w:t>
      </w:r>
      <w:r w:rsidR="00D641E3">
        <w:t>ten</w:t>
      </w:r>
      <w:r w:rsidRPr="004A27BE">
        <w:t xml:space="preserve"> at locations in the distribution system that represent the average residence time, 12 at high TTHM locations, and </w:t>
      </w:r>
      <w:r w:rsidR="00DC5431">
        <w:t>ten</w:t>
      </w:r>
      <w:r w:rsidRPr="004A27BE">
        <w:t xml:space="preserve"> at high HAA5 locations, for a total of 40 samples during each monitoring period.</w:t>
      </w:r>
    </w:p>
    <w:p w14:paraId="2F53ED61" w14:textId="77777777" w:rsidR="004A27BE" w:rsidRPr="004A27BE" w:rsidRDefault="004A27BE" w:rsidP="004A27BE"/>
    <w:p w14:paraId="41C66380" w14:textId="35D7E7C3" w:rsidR="004A27BE" w:rsidRPr="004A27BE" w:rsidRDefault="004A27BE" w:rsidP="004A27BE">
      <w:pPr>
        <w:ind w:left="2880" w:hanging="720"/>
      </w:pPr>
      <w:r w:rsidRPr="004A27BE">
        <w:t>K)</w:t>
      </w:r>
      <w:r>
        <w:tab/>
      </w:r>
      <w:r w:rsidRPr="004A27BE">
        <w:t xml:space="preserve">A groundwater system supplier that serves fewer than 500 persons and </w:t>
      </w:r>
      <w:r w:rsidR="00416E1B">
        <w:t>that</w:t>
      </w:r>
      <w:r w:rsidRPr="004A27BE">
        <w:t xml:space="preserve"> operates a consecutive system must collect samples once each calendar year during the peak historical month:  one near an entry point to the distribution system and one at a high TTHM location, for a total of two samples during each monitoring period.</w:t>
      </w:r>
    </w:p>
    <w:p w14:paraId="72E4075B" w14:textId="77777777" w:rsidR="004A27BE" w:rsidRPr="004A27BE" w:rsidRDefault="004A27BE" w:rsidP="004A27BE"/>
    <w:p w14:paraId="30FB1071" w14:textId="36E2FDFB" w:rsidR="004A27BE" w:rsidRPr="004A27BE" w:rsidRDefault="004A27BE" w:rsidP="004A27BE">
      <w:pPr>
        <w:ind w:left="2880" w:hanging="720"/>
      </w:pPr>
      <w:r w:rsidRPr="004A27BE">
        <w:t>L)</w:t>
      </w:r>
      <w:r>
        <w:tab/>
      </w:r>
      <w:r w:rsidRPr="004A27BE">
        <w:t xml:space="preserve">A groundwater system supplier that serves fewer than 500 persons and </w:t>
      </w:r>
      <w:r w:rsidR="00416E1B">
        <w:t>that</w:t>
      </w:r>
      <w:r w:rsidRPr="004A27BE">
        <w:t xml:space="preserve"> does not operate a consecutive system must collect samples once each calendar year during the peak historical month:  one at a high TTHM location and one at a high HAA5 location, for a total of two samples during each monitoring period.</w:t>
      </w:r>
    </w:p>
    <w:p w14:paraId="2AB2858F" w14:textId="77777777" w:rsidR="004A27BE" w:rsidRPr="004A27BE" w:rsidRDefault="004A27BE" w:rsidP="004A27BE"/>
    <w:p w14:paraId="1DBA95DE" w14:textId="77777777" w:rsidR="004A27BE" w:rsidRPr="004A27BE" w:rsidRDefault="004A27BE" w:rsidP="004A27BE">
      <w:pPr>
        <w:ind w:left="2880" w:hanging="720"/>
      </w:pPr>
      <w:r w:rsidRPr="004A27BE">
        <w:t>M)</w:t>
      </w:r>
      <w:r>
        <w:tab/>
      </w:r>
      <w:r w:rsidRPr="004A27BE">
        <w:t>A groundwater system supplier that serves 500 to 9,999 persons must collect samples four times each calendar year (once every 90 days):  one at a high TTHM location and one at a high HAA5 location, for a total of two samples during each monitoring period.</w:t>
      </w:r>
    </w:p>
    <w:p w14:paraId="1A14341A" w14:textId="77777777" w:rsidR="004A27BE" w:rsidRPr="004A27BE" w:rsidRDefault="004A27BE" w:rsidP="004A27BE"/>
    <w:p w14:paraId="141F83BE" w14:textId="77777777" w:rsidR="004A27BE" w:rsidRPr="004A27BE" w:rsidRDefault="004A27BE" w:rsidP="004A27BE">
      <w:pPr>
        <w:ind w:left="2880" w:hanging="720"/>
      </w:pPr>
      <w:r w:rsidRPr="004A27BE">
        <w:t>N)</w:t>
      </w:r>
      <w:r>
        <w:tab/>
      </w:r>
      <w:r w:rsidRPr="004A27BE">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180DCFA4" w14:textId="77777777" w:rsidR="004A27BE" w:rsidRPr="004A27BE" w:rsidRDefault="004A27BE" w:rsidP="004A27BE"/>
    <w:p w14:paraId="64E38238" w14:textId="77777777" w:rsidR="004A27BE" w:rsidRPr="004A27BE" w:rsidRDefault="004A27BE" w:rsidP="004A27BE">
      <w:pPr>
        <w:ind w:left="2880" w:hanging="720"/>
      </w:pPr>
      <w:r w:rsidRPr="004A27BE">
        <w:t>O)</w:t>
      </w:r>
      <w:r>
        <w:tab/>
      </w:r>
      <w:r w:rsidRPr="004A27BE">
        <w:t xml:space="preserve">A groundwater system supplier that serves 100,000 to 499,999 persons must collect samples four times each calendar year (once every 90 days):  one near an entry point to the distribution system, </w:t>
      </w:r>
      <w:r w:rsidRPr="004A27BE">
        <w:lastRenderedPageBreak/>
        <w:t>one at a location in the distribution system that represents the average residence time, three at high TTHM locations, and three at high HAA5 locations, for a total of eight samples during each monitoring period.</w:t>
      </w:r>
    </w:p>
    <w:p w14:paraId="07078EAA" w14:textId="77777777" w:rsidR="004A27BE" w:rsidRPr="004A27BE" w:rsidRDefault="004A27BE" w:rsidP="004A27BE"/>
    <w:p w14:paraId="47F8CDF3" w14:textId="77777777" w:rsidR="004A27BE" w:rsidRPr="004A27BE" w:rsidRDefault="004A27BE" w:rsidP="004A27BE">
      <w:pPr>
        <w:ind w:left="2880" w:hanging="720"/>
      </w:pPr>
      <w:r w:rsidRPr="004A27BE">
        <w:t>P)</w:t>
      </w:r>
      <w:r>
        <w:tab/>
      </w:r>
      <w:r w:rsidRPr="004A27BE">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2F01B3FA" w14:textId="77777777" w:rsidR="004A27BE" w:rsidRPr="004A27BE" w:rsidRDefault="004A27BE" w:rsidP="004A27BE"/>
    <w:p w14:paraId="6F624958" w14:textId="77777777" w:rsidR="004A27BE" w:rsidRPr="004A27BE" w:rsidRDefault="004A27BE" w:rsidP="004A27BE">
      <w:pPr>
        <w:ind w:left="2880" w:hanging="720"/>
      </w:pPr>
      <w:r w:rsidRPr="004A27BE">
        <w:t>Q)</w:t>
      </w:r>
      <w:r>
        <w:tab/>
      </w:r>
      <w:r w:rsidRPr="004A27BE">
        <w:t>A dual sample set (i.e., a TTHM and an HAA5 sample) must be taken at each monitoring location during each monitoring period.</w:t>
      </w:r>
    </w:p>
    <w:p w14:paraId="28A4B8C5" w14:textId="77777777" w:rsidR="004A27BE" w:rsidRPr="004A27BE" w:rsidRDefault="004A27BE" w:rsidP="004A27BE"/>
    <w:p w14:paraId="52512486" w14:textId="77777777" w:rsidR="004A27BE" w:rsidRPr="004A27BE" w:rsidRDefault="004A27BE" w:rsidP="004A27BE">
      <w:pPr>
        <w:ind w:left="2880" w:hanging="720"/>
      </w:pPr>
      <w:r w:rsidRPr="004A27BE">
        <w:t>R)</w:t>
      </w:r>
      <w:r>
        <w:tab/>
      </w:r>
      <w:r w:rsidRPr="004A27BE">
        <w:t xml:space="preserve">The </w:t>
      </w:r>
      <w:r>
        <w:t>"</w:t>
      </w:r>
      <w:r w:rsidRPr="004A27BE">
        <w:t>peak historical month</w:t>
      </w:r>
      <w:r w:rsidR="0006381F">
        <w:t>"</w:t>
      </w:r>
      <w:r w:rsidR="00743912">
        <w:t>,</w:t>
      </w:r>
      <w:r w:rsidRPr="004A27BE">
        <w:t xml:space="preserve"> </w:t>
      </w:r>
      <w:r w:rsidR="002E0EA9">
        <w:t>for</w:t>
      </w:r>
      <w:r w:rsidR="006019C0">
        <w:t xml:space="preserve"> the</w:t>
      </w:r>
      <w:r w:rsidRPr="004A27BE">
        <w:t xml:space="preserve"> purposes of subsections (b)(1)(A), (b)(1)(B), (b)(1)(K), and (b)(1)(L)</w:t>
      </w:r>
      <w:r w:rsidR="005237E1">
        <w:t>,</w:t>
      </w:r>
      <w:r w:rsidR="006019C0">
        <w:t xml:space="preserve"> means</w:t>
      </w:r>
      <w:r w:rsidRPr="004A27BE">
        <w:t xml:space="preserve"> the month with the highest TTHM or HAA5 levels or the warmest water temperature.</w:t>
      </w:r>
    </w:p>
    <w:p w14:paraId="0DF3030C" w14:textId="77777777" w:rsidR="004A27BE" w:rsidRPr="004A27BE" w:rsidRDefault="004A27BE" w:rsidP="004A27BE"/>
    <w:p w14:paraId="3EC89915" w14:textId="77777777" w:rsidR="004A27BE" w:rsidRPr="004A27BE" w:rsidRDefault="004A27BE" w:rsidP="004A27BE">
      <w:pPr>
        <w:ind w:left="2160" w:hanging="720"/>
        <w:rPr>
          <w:szCs w:val="18"/>
        </w:rPr>
      </w:pPr>
      <w:r w:rsidRPr="004A27BE">
        <w:t>2)</w:t>
      </w:r>
      <w:r>
        <w:tab/>
      </w:r>
      <w:r w:rsidRPr="004A27BE">
        <w:rPr>
          <w:szCs w:val="18"/>
        </w:rPr>
        <w:t>The supplier must take samples at locations other than the existing Subpart I monitoring locations.  Monitoring locations must be distributed throughout the distribution system.</w:t>
      </w:r>
    </w:p>
    <w:p w14:paraId="30A59D89" w14:textId="77777777" w:rsidR="004A27BE" w:rsidRPr="004A27BE" w:rsidRDefault="004A27BE" w:rsidP="004A27BE">
      <w:pPr>
        <w:rPr>
          <w:szCs w:val="18"/>
        </w:rPr>
      </w:pPr>
    </w:p>
    <w:p w14:paraId="5C99619E" w14:textId="77777777" w:rsidR="004A27BE" w:rsidRPr="004A27BE" w:rsidRDefault="004A27BE" w:rsidP="004A27BE">
      <w:pPr>
        <w:ind w:left="2160" w:hanging="720"/>
        <w:rPr>
          <w:szCs w:val="18"/>
        </w:rPr>
      </w:pPr>
      <w:r w:rsidRPr="004A27BE">
        <w:rPr>
          <w:szCs w:val="18"/>
        </w:rPr>
        <w:t>3)</w:t>
      </w:r>
      <w:r>
        <w:rPr>
          <w:szCs w:val="18"/>
        </w:rPr>
        <w:tab/>
      </w:r>
      <w:r w:rsidRPr="004A27BE">
        <w:rPr>
          <w:szCs w:val="18"/>
        </w:rPr>
        <w:t xml:space="preserve">If the number of entry points to the distribution system is fewer than the specified number of entry point monitoring locations, excess entry point samples must be </w:t>
      </w:r>
      <w:r w:rsidR="0006381F">
        <w:rPr>
          <w:szCs w:val="18"/>
        </w:rPr>
        <w:t xml:space="preserve">equally </w:t>
      </w:r>
      <w:r w:rsidRPr="004A27BE">
        <w:rPr>
          <w:szCs w:val="18"/>
        </w:rPr>
        <w:t xml:space="preserve">replaced </w:t>
      </w:r>
      <w:r w:rsidR="0006381F">
        <w:rPr>
          <w:szCs w:val="18"/>
        </w:rPr>
        <w:t>at</w:t>
      </w:r>
      <w:r w:rsidRPr="004A27BE">
        <w:rPr>
          <w:szCs w:val="18"/>
        </w:rPr>
        <w:t xml:space="preserve"> high TTHM and HAA5 locations.  If there is an odd </w:t>
      </w:r>
      <w:r w:rsidR="0006381F">
        <w:rPr>
          <w:szCs w:val="18"/>
        </w:rPr>
        <w:t xml:space="preserve">extra location </w:t>
      </w:r>
      <w:r w:rsidR="002E0EA9">
        <w:rPr>
          <w:szCs w:val="18"/>
        </w:rPr>
        <w:t>number</w:t>
      </w:r>
      <w:r w:rsidRPr="004A27BE">
        <w:rPr>
          <w:szCs w:val="18"/>
        </w:rPr>
        <w:t>, the supplier must take a sample at a high TTHM location.  If the number of entry points to the distribution system is more than the specified number of entry point monitoring locations, the supplier must take samples at the entry points to the distribution system that have the highest annual water flows.</w:t>
      </w:r>
    </w:p>
    <w:p w14:paraId="0342C3DE" w14:textId="77777777" w:rsidR="004A27BE" w:rsidRPr="004A27BE" w:rsidRDefault="004A27BE" w:rsidP="004A27BE">
      <w:pPr>
        <w:rPr>
          <w:szCs w:val="18"/>
        </w:rPr>
      </w:pPr>
    </w:p>
    <w:p w14:paraId="3360CA7B" w14:textId="77777777" w:rsidR="004A27BE" w:rsidRPr="004A27BE" w:rsidRDefault="004A27BE" w:rsidP="004A27BE">
      <w:pPr>
        <w:ind w:left="2160" w:hanging="720"/>
        <w:rPr>
          <w:szCs w:val="18"/>
        </w:rPr>
      </w:pPr>
      <w:r w:rsidRPr="004A27BE">
        <w:rPr>
          <w:szCs w:val="18"/>
        </w:rPr>
        <w:t>4)</w:t>
      </w:r>
      <w:r>
        <w:rPr>
          <w:szCs w:val="18"/>
        </w:rPr>
        <w:tab/>
      </w:r>
      <w:r w:rsidRPr="004A27BE">
        <w:rPr>
          <w:szCs w:val="18"/>
        </w:rPr>
        <w:t>The supplier</w:t>
      </w:r>
      <w:r>
        <w:rPr>
          <w:szCs w:val="18"/>
        </w:rPr>
        <w:t>'</w:t>
      </w:r>
      <w:r w:rsidRPr="004A27BE">
        <w:rPr>
          <w:szCs w:val="18"/>
        </w:rPr>
        <w:t>s monitoring under this subsection (b) may not be reduced under the provisions of Section 611.500, and the Agency may not reduce the supplier</w:t>
      </w:r>
      <w:r>
        <w:rPr>
          <w:szCs w:val="18"/>
        </w:rPr>
        <w:t>'</w:t>
      </w:r>
      <w:r w:rsidRPr="004A27BE">
        <w:rPr>
          <w:szCs w:val="18"/>
        </w:rPr>
        <w:t>s monitoring using the provisions of Section</w:t>
      </w:r>
      <w:r w:rsidR="006019C0">
        <w:rPr>
          <w:szCs w:val="18"/>
        </w:rPr>
        <w:t xml:space="preserve"> 611.161</w:t>
      </w:r>
      <w:r w:rsidRPr="004A27BE">
        <w:rPr>
          <w:szCs w:val="18"/>
        </w:rPr>
        <w:t>.</w:t>
      </w:r>
    </w:p>
    <w:p w14:paraId="23449852" w14:textId="77777777" w:rsidR="004A27BE" w:rsidRPr="004A27BE" w:rsidRDefault="004A27BE" w:rsidP="004A27BE">
      <w:pPr>
        <w:rPr>
          <w:szCs w:val="18"/>
        </w:rPr>
      </w:pPr>
    </w:p>
    <w:p w14:paraId="19943EC9" w14:textId="0A6760D0" w:rsidR="004A27BE" w:rsidRPr="004A27BE" w:rsidRDefault="004A27BE" w:rsidP="004A27BE">
      <w:pPr>
        <w:ind w:left="1440" w:hanging="720"/>
        <w:rPr>
          <w:szCs w:val="18"/>
        </w:rPr>
      </w:pPr>
      <w:r w:rsidRPr="004A27BE">
        <w:rPr>
          <w:szCs w:val="18"/>
        </w:rPr>
        <w:t>c)</w:t>
      </w:r>
      <w:r>
        <w:rPr>
          <w:szCs w:val="18"/>
        </w:rPr>
        <w:tab/>
      </w:r>
      <w:r w:rsidRPr="004A27BE">
        <w:rPr>
          <w:iCs/>
          <w:szCs w:val="18"/>
        </w:rPr>
        <w:t xml:space="preserve">IDSE </w:t>
      </w:r>
      <w:r w:rsidR="00DC5431">
        <w:rPr>
          <w:iCs/>
          <w:szCs w:val="18"/>
        </w:rPr>
        <w:t>Report</w:t>
      </w:r>
      <w:r w:rsidRPr="004A27BE">
        <w:rPr>
          <w:iCs/>
          <w:szCs w:val="18"/>
        </w:rPr>
        <w:t xml:space="preserve">.  </w:t>
      </w:r>
      <w:r w:rsidRPr="004A27BE">
        <w:rPr>
          <w:szCs w:val="18"/>
        </w:rPr>
        <w:t>A supplier</w:t>
      </w:r>
      <w:r>
        <w:rPr>
          <w:szCs w:val="18"/>
        </w:rPr>
        <w:t>'</w:t>
      </w:r>
      <w:r w:rsidRPr="004A27BE">
        <w:rPr>
          <w:szCs w:val="18"/>
        </w:rPr>
        <w:t xml:space="preserve">s IDSE report must include the elements required in subsections (c)(1) through (c)(4).  The supplier must submit its IDSE report to the Agency according to the </w:t>
      </w:r>
      <w:r w:rsidR="00B92241">
        <w:rPr>
          <w:szCs w:val="18"/>
        </w:rPr>
        <w:t>applicability</w:t>
      </w:r>
      <w:r w:rsidRPr="004A27BE">
        <w:rPr>
          <w:szCs w:val="18"/>
        </w:rPr>
        <w:t xml:space="preserve"> of the schedules in Section 611.920(c).</w:t>
      </w:r>
    </w:p>
    <w:p w14:paraId="673952F3" w14:textId="77777777" w:rsidR="004A27BE" w:rsidRPr="004A27BE" w:rsidRDefault="004A27BE" w:rsidP="004A27BE">
      <w:pPr>
        <w:rPr>
          <w:szCs w:val="18"/>
        </w:rPr>
      </w:pPr>
    </w:p>
    <w:p w14:paraId="1D301B62" w14:textId="77777777" w:rsidR="004A27BE" w:rsidRPr="004A27BE" w:rsidRDefault="004A27BE" w:rsidP="004A27BE">
      <w:pPr>
        <w:ind w:left="2160" w:hanging="720"/>
        <w:rPr>
          <w:szCs w:val="18"/>
        </w:rPr>
      </w:pPr>
      <w:r w:rsidRPr="004A27BE">
        <w:rPr>
          <w:szCs w:val="18"/>
        </w:rPr>
        <w:t>1)</w:t>
      </w:r>
      <w:r>
        <w:rPr>
          <w:szCs w:val="18"/>
        </w:rPr>
        <w:tab/>
      </w:r>
      <w:r w:rsidRPr="004A27BE">
        <w:rPr>
          <w:szCs w:val="18"/>
        </w:rPr>
        <w:t>The supplier</w:t>
      </w:r>
      <w:r>
        <w:rPr>
          <w:szCs w:val="18"/>
        </w:rPr>
        <w:t>'</w:t>
      </w:r>
      <w:r w:rsidRPr="004A27BE">
        <w:rPr>
          <w:szCs w:val="18"/>
        </w:rPr>
        <w:t xml:space="preserve">s IDSE report must include all TTHM and HAA5 analytical results from Subpart I compliance monitoring and all standard monitoring conducted during the period of the IDSE as individual analytical results and LRAAs presented in a tabular or spreadsheet format acceptable to the </w:t>
      </w:r>
      <w:r w:rsidRPr="004A27BE">
        <w:rPr>
          <w:szCs w:val="18"/>
        </w:rPr>
        <w:lastRenderedPageBreak/>
        <w:t>Agency.  If changed from the supplier</w:t>
      </w:r>
      <w:r>
        <w:rPr>
          <w:szCs w:val="18"/>
        </w:rPr>
        <w:t>'</w:t>
      </w:r>
      <w:r w:rsidRPr="004A27BE">
        <w:rPr>
          <w:szCs w:val="18"/>
        </w:rPr>
        <w:t xml:space="preserve">s standard monitoring plan submitted </w:t>
      </w:r>
      <w:r w:rsidR="00DC5431">
        <w:rPr>
          <w:szCs w:val="18"/>
        </w:rPr>
        <w:t>under</w:t>
      </w:r>
      <w:r w:rsidRPr="004A27BE">
        <w:rPr>
          <w:szCs w:val="18"/>
        </w:rPr>
        <w:t xml:space="preserve"> subsection (a), the supplier</w:t>
      </w:r>
      <w:r>
        <w:rPr>
          <w:szCs w:val="18"/>
        </w:rPr>
        <w:t>'</w:t>
      </w:r>
      <w:r w:rsidRPr="004A27BE">
        <w:rPr>
          <w:szCs w:val="18"/>
        </w:rPr>
        <w:t>s report must also include a schematic of the supplier</w:t>
      </w:r>
      <w:r>
        <w:rPr>
          <w:szCs w:val="18"/>
        </w:rPr>
        <w:t>'</w:t>
      </w:r>
      <w:r w:rsidRPr="004A27BE">
        <w:rPr>
          <w:szCs w:val="18"/>
        </w:rPr>
        <w:t>s distribution system, the population served, and system type (Subpart B system or groundwater system).</w:t>
      </w:r>
    </w:p>
    <w:p w14:paraId="59972FAE" w14:textId="77777777" w:rsidR="004A27BE" w:rsidRPr="004A27BE" w:rsidRDefault="004A27BE" w:rsidP="004A27BE">
      <w:pPr>
        <w:rPr>
          <w:szCs w:val="18"/>
        </w:rPr>
      </w:pPr>
    </w:p>
    <w:p w14:paraId="180CFF14" w14:textId="77777777" w:rsidR="004A27BE" w:rsidRPr="004A27BE" w:rsidRDefault="004A27BE" w:rsidP="004A27BE">
      <w:pPr>
        <w:ind w:left="2160" w:hanging="720"/>
        <w:rPr>
          <w:szCs w:val="18"/>
        </w:rPr>
      </w:pPr>
      <w:r w:rsidRPr="004A27BE">
        <w:rPr>
          <w:szCs w:val="18"/>
        </w:rPr>
        <w:t>2)</w:t>
      </w:r>
      <w:r>
        <w:rPr>
          <w:szCs w:val="18"/>
        </w:rPr>
        <w:tab/>
      </w:r>
      <w:r w:rsidRPr="004A27BE">
        <w:rPr>
          <w:szCs w:val="18"/>
        </w:rPr>
        <w:t>The supplier</w:t>
      </w:r>
      <w:r>
        <w:rPr>
          <w:szCs w:val="18"/>
        </w:rPr>
        <w:t>'</w:t>
      </w:r>
      <w:r w:rsidRPr="004A27BE">
        <w:rPr>
          <w:szCs w:val="18"/>
        </w:rPr>
        <w:t>s IDSE report must include an explanation of any deviations from the supplier</w:t>
      </w:r>
      <w:r>
        <w:rPr>
          <w:szCs w:val="18"/>
        </w:rPr>
        <w:t>'</w:t>
      </w:r>
      <w:r w:rsidRPr="004A27BE">
        <w:rPr>
          <w:szCs w:val="18"/>
        </w:rPr>
        <w:t>s approved standard monitoring plan.</w:t>
      </w:r>
    </w:p>
    <w:p w14:paraId="45A26613" w14:textId="77777777" w:rsidR="004A27BE" w:rsidRPr="004A27BE" w:rsidRDefault="004A27BE" w:rsidP="004A27BE">
      <w:pPr>
        <w:rPr>
          <w:szCs w:val="18"/>
        </w:rPr>
      </w:pPr>
    </w:p>
    <w:p w14:paraId="0232CF82" w14:textId="77777777" w:rsidR="004A27BE" w:rsidRPr="004A27BE" w:rsidRDefault="004A27BE" w:rsidP="004A27BE">
      <w:pPr>
        <w:ind w:left="2160" w:hanging="720"/>
        <w:rPr>
          <w:szCs w:val="18"/>
        </w:rPr>
      </w:pPr>
      <w:r w:rsidRPr="004A27BE">
        <w:rPr>
          <w:szCs w:val="18"/>
        </w:rPr>
        <w:t>3)</w:t>
      </w:r>
      <w:r>
        <w:rPr>
          <w:szCs w:val="18"/>
        </w:rPr>
        <w:tab/>
      </w:r>
      <w:r w:rsidRPr="004A27BE">
        <w:rPr>
          <w:szCs w:val="18"/>
        </w:rPr>
        <w:t xml:space="preserve">The supplier must recommend and justify </w:t>
      </w:r>
      <w:r w:rsidRPr="004A27BE">
        <w:t>Subpart Y</w:t>
      </w:r>
      <w:r w:rsidRPr="004A27BE">
        <w:rPr>
          <w:szCs w:val="18"/>
        </w:rPr>
        <w:t xml:space="preserve"> compliance monitoring locations and timing based on the protocol in Section 611.925.</w:t>
      </w:r>
    </w:p>
    <w:p w14:paraId="724F5137" w14:textId="77777777" w:rsidR="004A27BE" w:rsidRPr="004A27BE" w:rsidRDefault="004A27BE" w:rsidP="004A27BE">
      <w:pPr>
        <w:rPr>
          <w:szCs w:val="18"/>
        </w:rPr>
      </w:pPr>
    </w:p>
    <w:p w14:paraId="67EBA484" w14:textId="3AF9C93B" w:rsidR="004A27BE" w:rsidRPr="004A27BE" w:rsidRDefault="004A27BE" w:rsidP="004A27BE">
      <w:pPr>
        <w:ind w:left="2160" w:hanging="720"/>
        <w:rPr>
          <w:szCs w:val="18"/>
        </w:rPr>
      </w:pPr>
      <w:r w:rsidRPr="004A27BE">
        <w:rPr>
          <w:szCs w:val="18"/>
        </w:rPr>
        <w:t>4)</w:t>
      </w:r>
      <w:r>
        <w:rPr>
          <w:szCs w:val="18"/>
        </w:rPr>
        <w:tab/>
      </w:r>
      <w:r w:rsidRPr="004A27BE">
        <w:rPr>
          <w:szCs w:val="18"/>
        </w:rPr>
        <w:t xml:space="preserve">The supplier must </w:t>
      </w:r>
      <w:r w:rsidR="00B92241">
        <w:rPr>
          <w:szCs w:val="18"/>
        </w:rPr>
        <w:t>keep</w:t>
      </w:r>
      <w:r w:rsidRPr="004A27BE">
        <w:rPr>
          <w:szCs w:val="18"/>
        </w:rPr>
        <w:t xml:space="preserve"> a complete copy of its IDSE report submitted under this </w:t>
      </w:r>
      <w:r w:rsidR="002E0EA9">
        <w:rPr>
          <w:szCs w:val="18"/>
        </w:rPr>
        <w:t>S</w:t>
      </w:r>
      <w:r w:rsidRPr="004A27BE">
        <w:rPr>
          <w:szCs w:val="18"/>
        </w:rPr>
        <w:t xml:space="preserve">ection for </w:t>
      </w:r>
      <w:r w:rsidR="00DC5431">
        <w:rPr>
          <w:szCs w:val="18"/>
        </w:rPr>
        <w:t>ten</w:t>
      </w:r>
      <w:r w:rsidRPr="004A27BE">
        <w:rPr>
          <w:szCs w:val="18"/>
        </w:rPr>
        <w:t xml:space="preserve"> years after the date on which the supplier submitted the supplier</w:t>
      </w:r>
      <w:r>
        <w:rPr>
          <w:szCs w:val="18"/>
        </w:rPr>
        <w:t>'</w:t>
      </w:r>
      <w:r w:rsidRPr="004A27BE">
        <w:rPr>
          <w:szCs w:val="18"/>
        </w:rPr>
        <w:t xml:space="preserve">s report.  If the Agency modifies the </w:t>
      </w:r>
      <w:r w:rsidRPr="004A27BE">
        <w:t>Subpart Y</w:t>
      </w:r>
      <w:r w:rsidRPr="004A27BE">
        <w:rPr>
          <w:szCs w:val="18"/>
        </w:rPr>
        <w:t xml:space="preserve"> monitoring requirements that the supplier recommended in its IDSE report or if the Agency approves alternative monitoring locations </w:t>
      </w:r>
      <w:r w:rsidR="00DC5431">
        <w:rPr>
          <w:szCs w:val="18"/>
        </w:rPr>
        <w:t>under</w:t>
      </w:r>
      <w:r w:rsidRPr="004A27BE">
        <w:rPr>
          <w:szCs w:val="18"/>
        </w:rPr>
        <w:t xml:space="preserve"> Section 611.161, the supplier must keep a copy of the Agency</w:t>
      </w:r>
      <w:r>
        <w:rPr>
          <w:szCs w:val="18"/>
        </w:rPr>
        <w:t>'</w:t>
      </w:r>
      <w:r w:rsidRPr="004A27BE">
        <w:rPr>
          <w:szCs w:val="18"/>
        </w:rPr>
        <w:t xml:space="preserve">s notification on file for </w:t>
      </w:r>
      <w:r w:rsidR="00DC5431">
        <w:rPr>
          <w:szCs w:val="18"/>
        </w:rPr>
        <w:t>ten</w:t>
      </w:r>
      <w:r w:rsidRPr="004A27BE">
        <w:rPr>
          <w:szCs w:val="18"/>
        </w:rPr>
        <w:t xml:space="preserve"> years after the date of the Agency</w:t>
      </w:r>
      <w:r>
        <w:rPr>
          <w:szCs w:val="18"/>
        </w:rPr>
        <w:t>'</w:t>
      </w:r>
      <w:r w:rsidRPr="004A27BE">
        <w:rPr>
          <w:szCs w:val="18"/>
        </w:rPr>
        <w:t>s notification.  The supplier must make the IDSE report and any Agency notification available for review by the Agency or the public.</w:t>
      </w:r>
    </w:p>
    <w:p w14:paraId="56133E55" w14:textId="77777777" w:rsidR="004A27BE" w:rsidRPr="004A27BE" w:rsidRDefault="004A27BE" w:rsidP="004A27BE">
      <w:pPr>
        <w:rPr>
          <w:szCs w:val="18"/>
        </w:rPr>
      </w:pPr>
    </w:p>
    <w:p w14:paraId="3B4B2FAD" w14:textId="77777777" w:rsidR="004A27BE" w:rsidRPr="004A27BE" w:rsidRDefault="004A27BE" w:rsidP="002E0EA9">
      <w:pPr>
        <w:ind w:firstLine="720"/>
      </w:pPr>
      <w:r w:rsidRPr="004A27BE">
        <w:t>BOARD NOTE:  Derived from 40 CFR 141.601.</w:t>
      </w:r>
    </w:p>
    <w:p w14:paraId="4E70CFCC" w14:textId="77777777" w:rsidR="001C71C2" w:rsidRPr="007113A7" w:rsidRDefault="001C71C2" w:rsidP="00280D7E"/>
    <w:p w14:paraId="58E097AE" w14:textId="64CD7FE4" w:rsidR="006B2414" w:rsidRDefault="00B92241" w:rsidP="006B2414">
      <w:pPr>
        <w:pStyle w:val="JCARSourceNote"/>
        <w:ind w:left="720"/>
      </w:pPr>
      <w:r w:rsidRPr="004E27CF">
        <w:t xml:space="preserve">(Source:  Amended at </w:t>
      </w:r>
      <w:r w:rsidR="00745045">
        <w:t>50</w:t>
      </w:r>
      <w:r w:rsidRPr="004E27CF">
        <w:t xml:space="preserve"> Ill. Reg. </w:t>
      </w:r>
      <w:r w:rsidR="002B1441">
        <w:t>2531</w:t>
      </w:r>
      <w:r w:rsidRPr="004E27CF">
        <w:t xml:space="preserve">, effective </w:t>
      </w:r>
      <w:r w:rsidR="002B1441">
        <w:t>February 17, 2026</w:t>
      </w:r>
      <w:r w:rsidRPr="004E27CF">
        <w:t>)</w:t>
      </w:r>
    </w:p>
    <w:sectPr w:rsidR="006B24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418B" w14:textId="77777777" w:rsidR="00584E9B" w:rsidRDefault="00584E9B">
      <w:r>
        <w:separator/>
      </w:r>
    </w:p>
  </w:endnote>
  <w:endnote w:type="continuationSeparator" w:id="0">
    <w:p w14:paraId="08322CFB" w14:textId="77777777" w:rsidR="00584E9B" w:rsidRDefault="0058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CE7F" w14:textId="77777777" w:rsidR="00584E9B" w:rsidRDefault="00584E9B">
      <w:r>
        <w:separator/>
      </w:r>
    </w:p>
  </w:footnote>
  <w:footnote w:type="continuationSeparator" w:id="0">
    <w:p w14:paraId="351CCAAE" w14:textId="77777777" w:rsidR="00584E9B" w:rsidRDefault="00584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08AC"/>
    <w:rsid w:val="00001F1D"/>
    <w:rsid w:val="00003CEF"/>
    <w:rsid w:val="00011A7D"/>
    <w:rsid w:val="000122C7"/>
    <w:rsid w:val="000158C8"/>
    <w:rsid w:val="00021B92"/>
    <w:rsid w:val="00023902"/>
    <w:rsid w:val="00023DDC"/>
    <w:rsid w:val="00024942"/>
    <w:rsid w:val="00026C9D"/>
    <w:rsid w:val="00026F05"/>
    <w:rsid w:val="00030823"/>
    <w:rsid w:val="00031AC4"/>
    <w:rsid w:val="00033CF9"/>
    <w:rsid w:val="0004011F"/>
    <w:rsid w:val="00041E66"/>
    <w:rsid w:val="00042314"/>
    <w:rsid w:val="00050531"/>
    <w:rsid w:val="0006381F"/>
    <w:rsid w:val="00066013"/>
    <w:rsid w:val="000676A6"/>
    <w:rsid w:val="00074368"/>
    <w:rsid w:val="000765E0"/>
    <w:rsid w:val="00083E97"/>
    <w:rsid w:val="0008689B"/>
    <w:rsid w:val="000943C4"/>
    <w:rsid w:val="00097B01"/>
    <w:rsid w:val="000A4C0F"/>
    <w:rsid w:val="000B2808"/>
    <w:rsid w:val="000B2839"/>
    <w:rsid w:val="000B4119"/>
    <w:rsid w:val="000B6F99"/>
    <w:rsid w:val="000C4841"/>
    <w:rsid w:val="000C6D3D"/>
    <w:rsid w:val="000C7A6D"/>
    <w:rsid w:val="000D074F"/>
    <w:rsid w:val="000D08AC"/>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8A2"/>
    <w:rsid w:val="001B5F27"/>
    <w:rsid w:val="001C1D61"/>
    <w:rsid w:val="001C71C2"/>
    <w:rsid w:val="001C7D95"/>
    <w:rsid w:val="001D0EBA"/>
    <w:rsid w:val="001D0EFC"/>
    <w:rsid w:val="001D37E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0D7E"/>
    <w:rsid w:val="00284DB9"/>
    <w:rsid w:val="002958AD"/>
    <w:rsid w:val="002A54F1"/>
    <w:rsid w:val="002A643F"/>
    <w:rsid w:val="002A72C2"/>
    <w:rsid w:val="002A7CB6"/>
    <w:rsid w:val="002B1441"/>
    <w:rsid w:val="002C5D80"/>
    <w:rsid w:val="002C75E4"/>
    <w:rsid w:val="002D3C4D"/>
    <w:rsid w:val="002D3FBA"/>
    <w:rsid w:val="002D7620"/>
    <w:rsid w:val="002E0EA9"/>
    <w:rsid w:val="002F5988"/>
    <w:rsid w:val="00305AAE"/>
    <w:rsid w:val="00311C50"/>
    <w:rsid w:val="00314233"/>
    <w:rsid w:val="00322AC2"/>
    <w:rsid w:val="00323B50"/>
    <w:rsid w:val="00327B81"/>
    <w:rsid w:val="00331EB4"/>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E5C0A"/>
    <w:rsid w:val="003F0EC8"/>
    <w:rsid w:val="003F2136"/>
    <w:rsid w:val="003F24E6"/>
    <w:rsid w:val="003F3A28"/>
    <w:rsid w:val="003F5FD7"/>
    <w:rsid w:val="003F60AF"/>
    <w:rsid w:val="004014FB"/>
    <w:rsid w:val="00404222"/>
    <w:rsid w:val="00416E1B"/>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7BE"/>
    <w:rsid w:val="004A2DF2"/>
    <w:rsid w:val="004B0153"/>
    <w:rsid w:val="004B41BC"/>
    <w:rsid w:val="004B6FF4"/>
    <w:rsid w:val="004D6EED"/>
    <w:rsid w:val="004D73D3"/>
    <w:rsid w:val="004E49DF"/>
    <w:rsid w:val="004E513F"/>
    <w:rsid w:val="005001C5"/>
    <w:rsid w:val="005039E7"/>
    <w:rsid w:val="0050660E"/>
    <w:rsid w:val="005109B5"/>
    <w:rsid w:val="0051171C"/>
    <w:rsid w:val="00512795"/>
    <w:rsid w:val="0052308E"/>
    <w:rsid w:val="005232CE"/>
    <w:rsid w:val="005237D3"/>
    <w:rsid w:val="005237E1"/>
    <w:rsid w:val="00526060"/>
    <w:rsid w:val="00530BE1"/>
    <w:rsid w:val="00531849"/>
    <w:rsid w:val="005341A0"/>
    <w:rsid w:val="00542E97"/>
    <w:rsid w:val="00544B77"/>
    <w:rsid w:val="00550737"/>
    <w:rsid w:val="00552D2A"/>
    <w:rsid w:val="0056157E"/>
    <w:rsid w:val="0056501E"/>
    <w:rsid w:val="00571719"/>
    <w:rsid w:val="00571A8B"/>
    <w:rsid w:val="00573770"/>
    <w:rsid w:val="00573803"/>
    <w:rsid w:val="00576975"/>
    <w:rsid w:val="005777E6"/>
    <w:rsid w:val="00584E9B"/>
    <w:rsid w:val="00586A81"/>
    <w:rsid w:val="005901D4"/>
    <w:rsid w:val="005948A7"/>
    <w:rsid w:val="005A2494"/>
    <w:rsid w:val="005A73F7"/>
    <w:rsid w:val="005D150D"/>
    <w:rsid w:val="005D35F3"/>
    <w:rsid w:val="005E03A7"/>
    <w:rsid w:val="005E3D55"/>
    <w:rsid w:val="005F2891"/>
    <w:rsid w:val="006019C0"/>
    <w:rsid w:val="006132CE"/>
    <w:rsid w:val="00620BBA"/>
    <w:rsid w:val="006247D4"/>
    <w:rsid w:val="00627F05"/>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2414"/>
    <w:rsid w:val="006B3E84"/>
    <w:rsid w:val="006B5C47"/>
    <w:rsid w:val="006B7535"/>
    <w:rsid w:val="006B7892"/>
    <w:rsid w:val="006C45D5"/>
    <w:rsid w:val="006E1AE0"/>
    <w:rsid w:val="006E1F95"/>
    <w:rsid w:val="006F7BF8"/>
    <w:rsid w:val="00700FB4"/>
    <w:rsid w:val="00702A38"/>
    <w:rsid w:val="0070602C"/>
    <w:rsid w:val="007113A7"/>
    <w:rsid w:val="00717DBE"/>
    <w:rsid w:val="00720025"/>
    <w:rsid w:val="00727763"/>
    <w:rsid w:val="007278C5"/>
    <w:rsid w:val="00733938"/>
    <w:rsid w:val="00737469"/>
    <w:rsid w:val="00743912"/>
    <w:rsid w:val="00745045"/>
    <w:rsid w:val="0074553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FD7"/>
    <w:rsid w:val="0084781C"/>
    <w:rsid w:val="0086679B"/>
    <w:rsid w:val="00870EF2"/>
    <w:rsid w:val="008717C5"/>
    <w:rsid w:val="0088338B"/>
    <w:rsid w:val="0088496F"/>
    <w:rsid w:val="00890BEC"/>
    <w:rsid w:val="008923A8"/>
    <w:rsid w:val="008B56EA"/>
    <w:rsid w:val="008B77D8"/>
    <w:rsid w:val="008C1560"/>
    <w:rsid w:val="008C4FAF"/>
    <w:rsid w:val="008C5359"/>
    <w:rsid w:val="008D7182"/>
    <w:rsid w:val="008E68BC"/>
    <w:rsid w:val="008F2BEE"/>
    <w:rsid w:val="009053C8"/>
    <w:rsid w:val="00910413"/>
    <w:rsid w:val="00913F7C"/>
    <w:rsid w:val="00915C6D"/>
    <w:rsid w:val="009168BC"/>
    <w:rsid w:val="00921F8B"/>
    <w:rsid w:val="00934057"/>
    <w:rsid w:val="00935A8C"/>
    <w:rsid w:val="00944E3D"/>
    <w:rsid w:val="00946B28"/>
    <w:rsid w:val="00950386"/>
    <w:rsid w:val="00960C37"/>
    <w:rsid w:val="00961E38"/>
    <w:rsid w:val="00965A76"/>
    <w:rsid w:val="00966D51"/>
    <w:rsid w:val="0098276C"/>
    <w:rsid w:val="00983C53"/>
    <w:rsid w:val="00994782"/>
    <w:rsid w:val="009A26DA"/>
    <w:rsid w:val="009B45F6"/>
    <w:rsid w:val="009B59C3"/>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202C"/>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1DA8"/>
    <w:rsid w:val="00B420C1"/>
    <w:rsid w:val="00B4287F"/>
    <w:rsid w:val="00B44A11"/>
    <w:rsid w:val="00B47047"/>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2241"/>
    <w:rsid w:val="00BB0A4F"/>
    <w:rsid w:val="00BB230E"/>
    <w:rsid w:val="00BC00FF"/>
    <w:rsid w:val="00BD0ED2"/>
    <w:rsid w:val="00BD632E"/>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1E3"/>
    <w:rsid w:val="00D64B08"/>
    <w:rsid w:val="00D70D8F"/>
    <w:rsid w:val="00D76B84"/>
    <w:rsid w:val="00D77DCF"/>
    <w:rsid w:val="00D876AB"/>
    <w:rsid w:val="00D93C67"/>
    <w:rsid w:val="00D94587"/>
    <w:rsid w:val="00D97042"/>
    <w:rsid w:val="00D97549"/>
    <w:rsid w:val="00DB2CC7"/>
    <w:rsid w:val="00DB78E4"/>
    <w:rsid w:val="00DC016D"/>
    <w:rsid w:val="00DC5431"/>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531E"/>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161B8"/>
  <w15:docId w15:val="{7B21FAFE-F719-4E28-B5A6-D4124D64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4A27B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4A27B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00147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