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E0" w:rsidRDefault="00562DE0" w:rsidP="00562DE0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611.605  Nitrite Monitoring</w:t>
      </w:r>
      <w:r>
        <w:t xml:space="preserve"> </w:t>
      </w:r>
    </w:p>
    <w:p w:rsidR="00562DE0" w:rsidRDefault="00562DE0" w:rsidP="00562DE0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</w:pPr>
      <w:r>
        <w:t xml:space="preserve">Each supplier </w:t>
      </w:r>
      <w:r w:rsidR="00A012B3">
        <w:t>must</w:t>
      </w:r>
      <w:r>
        <w:t xml:space="preserve"> monitor to determine compliance with the MCL for nitrite in Section 611.301. </w:t>
      </w:r>
    </w:p>
    <w:p w:rsidR="00235D5D" w:rsidRDefault="00235D5D" w:rsidP="00562DE0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012B3">
        <w:t>This subsection (a) corresponds with 40 CFR 141.23(e)(1), which was applicable only until a date now past.  This statement maintains consistency with USEPA rules.</w:t>
      </w:r>
      <w:r>
        <w:t xml:space="preserve"> </w:t>
      </w:r>
    </w:p>
    <w:p w:rsidR="00235D5D" w:rsidRDefault="00235D5D" w:rsidP="0033027E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subsection corresponds with 40 CFR 141.23(e)(2), a provision by which </w:t>
      </w:r>
      <w:r w:rsidR="00A012B3">
        <w:t>USEPA</w:t>
      </w:r>
      <w:r w:rsidR="00235D5D">
        <w:t xml:space="preserve"> </w:t>
      </w:r>
      <w:r>
        <w:t xml:space="preserve">refers to state requirements that do not exist in Illinois. This statement maintains structural consistency with </w:t>
      </w:r>
      <w:r w:rsidR="00A012B3">
        <w:t>USEPA</w:t>
      </w:r>
      <w:r>
        <w:t xml:space="preserve"> rules. </w:t>
      </w:r>
    </w:p>
    <w:p w:rsidR="00235D5D" w:rsidRDefault="00235D5D" w:rsidP="0033027E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012B3">
        <w:t>Monitoring</w:t>
      </w:r>
      <w:r>
        <w:t xml:space="preserve"> </w:t>
      </w:r>
      <w:r w:rsidR="00696FDE">
        <w:t>Frequency</w:t>
      </w:r>
      <w:r>
        <w:t xml:space="preserve"> </w:t>
      </w:r>
    </w:p>
    <w:p w:rsidR="00235D5D" w:rsidRDefault="00235D5D" w:rsidP="0033027E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Quarterly </w:t>
      </w:r>
      <w:r w:rsidR="00696FDE">
        <w:t>Monitoring</w:t>
      </w:r>
      <w:r>
        <w:t xml:space="preserve"> </w:t>
      </w:r>
    </w:p>
    <w:p w:rsidR="00235D5D" w:rsidRDefault="00235D5D" w:rsidP="0033027E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supplier that has any one sample in which the concentration is equal to or greater than 50 percent of the MCL </w:t>
      </w:r>
      <w:r w:rsidR="00A012B3">
        <w:t>must</w:t>
      </w:r>
      <w:r>
        <w:t xml:space="preserve"> initiate quarterly monitoring during the next quarter. </w:t>
      </w:r>
    </w:p>
    <w:p w:rsidR="00235D5D" w:rsidRDefault="00235D5D" w:rsidP="0033027E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supplier required to begin quarterly monitoring </w:t>
      </w:r>
      <w:r w:rsidR="00552C3B">
        <w:t>under</w:t>
      </w:r>
      <w:r>
        <w:t xml:space="preserve"> subsection (c)(1)(A)</w:t>
      </w:r>
      <w:r w:rsidR="00A012B3">
        <w:t xml:space="preserve"> must</w:t>
      </w:r>
      <w:r w:rsidR="00235D5D">
        <w:t xml:space="preserve"> </w:t>
      </w:r>
      <w:r>
        <w:t xml:space="preserve">continue on a quarterly basis for a minimum of one year following any one sample exceeding the 50 percent of the MCL, after which the supplier may discontinue quarterly monitoring </w:t>
      </w:r>
      <w:r w:rsidR="00696FDE">
        <w:t>under</w:t>
      </w:r>
      <w:r>
        <w:t xml:space="preserve"> subsection (c)(2). </w:t>
      </w:r>
    </w:p>
    <w:p w:rsidR="00235D5D" w:rsidRDefault="00235D5D" w:rsidP="0033027E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</w:t>
      </w:r>
      <w:r w:rsidR="00A012B3">
        <w:t>must</w:t>
      </w:r>
      <w:r>
        <w:t xml:space="preserve"> grant a SEP that allows a supplier to reduce its monitoring frequency to annually if it determines that the sampling point is reliably and consistently below the MCL. </w:t>
      </w:r>
    </w:p>
    <w:p w:rsidR="00235D5D" w:rsidRDefault="00235D5D" w:rsidP="0033027E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request for a SEP must include the following minimal information:  the results from four quarterly samples. </w:t>
      </w:r>
    </w:p>
    <w:p w:rsidR="00235D5D" w:rsidRDefault="00235D5D" w:rsidP="0033027E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 issuing the SEP, the Agency </w:t>
      </w:r>
      <w:r w:rsidR="00A012B3">
        <w:t>must</w:t>
      </w:r>
      <w:r>
        <w:t xml:space="preserve"> specify the level of the contaminant upon which the "reliably and consistently" determination was based.  All SEPs that allow less frequent monitoring based o</w:t>
      </w:r>
      <w:r w:rsidR="00EB3574">
        <w:t xml:space="preserve">n an Agency "reliably and </w:t>
      </w:r>
      <w:r w:rsidR="00433C72">
        <w:t>consistently</w:t>
      </w:r>
      <w:r>
        <w:t xml:space="preserve">" determination </w:t>
      </w:r>
      <w:r w:rsidR="00A012B3">
        <w:t>must</w:t>
      </w:r>
      <w:r>
        <w:t xml:space="preserve"> include a condition requiring the supplier to resume quarterly monitoring for nitrite </w:t>
      </w:r>
      <w:r w:rsidR="00552C3B">
        <w:t>under</w:t>
      </w:r>
      <w:r>
        <w:t xml:space="preserve"> subsection (c)(1)</w:t>
      </w:r>
      <w:r w:rsidR="00A012B3">
        <w:t xml:space="preserve"> </w:t>
      </w:r>
      <w:r>
        <w:t xml:space="preserve">if it equals or exceeds 50 percent of the MCL specified by Section 611.301 for nitrite. </w:t>
      </w:r>
    </w:p>
    <w:p w:rsidR="00235D5D" w:rsidRDefault="00235D5D" w:rsidP="0033027E">
      <w:pPr>
        <w:widowControl w:val="0"/>
        <w:autoSpaceDE w:val="0"/>
        <w:autoSpaceDN w:val="0"/>
        <w:adjustRightInd w:val="0"/>
      </w:pPr>
    </w:p>
    <w:p w:rsidR="00562DE0" w:rsidRDefault="00562DE0" w:rsidP="00562DE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supplier that is monitoring annually </w:t>
      </w:r>
      <w:r w:rsidR="00A012B3">
        <w:t>must</w:t>
      </w:r>
      <w:r>
        <w:t xml:space="preserve"> take samples during the</w:t>
      </w:r>
      <w:r w:rsidR="00A012B3">
        <w:t xml:space="preserve"> quarters that</w:t>
      </w:r>
      <w:r>
        <w:t xml:space="preserve"> previously resulted in the highest analytical result. </w:t>
      </w:r>
    </w:p>
    <w:p w:rsidR="00235D5D" w:rsidRDefault="00235D5D" w:rsidP="0064024C">
      <w:pPr>
        <w:widowControl w:val="0"/>
        <w:autoSpaceDE w:val="0"/>
        <w:autoSpaceDN w:val="0"/>
        <w:adjustRightInd w:val="0"/>
        <w:ind w:left="1440" w:hanging="1440"/>
      </w:pPr>
    </w:p>
    <w:p w:rsidR="00562DE0" w:rsidRDefault="00562DE0" w:rsidP="0064024C">
      <w:pPr>
        <w:widowControl w:val="0"/>
        <w:autoSpaceDE w:val="0"/>
        <w:autoSpaceDN w:val="0"/>
        <w:adjustRightInd w:val="0"/>
        <w:ind w:left="1440" w:hanging="1440"/>
      </w:pPr>
      <w:r>
        <w:t xml:space="preserve">BOARD NOTE:  Derived from 40 CFR 141.23(e). </w:t>
      </w:r>
    </w:p>
    <w:p w:rsidR="00696FDE" w:rsidRDefault="00696FDE" w:rsidP="0064024C">
      <w:pPr>
        <w:widowControl w:val="0"/>
        <w:autoSpaceDE w:val="0"/>
        <w:autoSpaceDN w:val="0"/>
        <w:adjustRightInd w:val="0"/>
        <w:ind w:left="1440" w:hanging="1440"/>
      </w:pPr>
    </w:p>
    <w:p w:rsidR="00962F13" w:rsidRDefault="00962F13" w:rsidP="00962F13">
      <w:pPr>
        <w:pStyle w:val="JCARSourceNote"/>
        <w:ind w:left="720"/>
      </w:pPr>
      <w:r>
        <w:t xml:space="preserve">(Source:  Amended at 44 Ill. Reg. </w:t>
      </w:r>
      <w:r w:rsidR="00456640">
        <w:t>6996</w:t>
      </w:r>
      <w:r>
        <w:t xml:space="preserve">, effective </w:t>
      </w:r>
      <w:bookmarkStart w:id="0" w:name="_GoBack"/>
      <w:r w:rsidR="00456640">
        <w:t>April 17, 2020</w:t>
      </w:r>
      <w:bookmarkEnd w:id="0"/>
      <w:r>
        <w:t>)</w:t>
      </w:r>
    </w:p>
    <w:sectPr w:rsidR="00962F13" w:rsidSect="00562D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DE0"/>
    <w:rsid w:val="00073E6F"/>
    <w:rsid w:val="000F1E47"/>
    <w:rsid w:val="001905B0"/>
    <w:rsid w:val="00190B4F"/>
    <w:rsid w:val="001F65A1"/>
    <w:rsid w:val="00235D5D"/>
    <w:rsid w:val="0033027E"/>
    <w:rsid w:val="003A169F"/>
    <w:rsid w:val="00433C72"/>
    <w:rsid w:val="00456640"/>
    <w:rsid w:val="005423D7"/>
    <w:rsid w:val="00552C3B"/>
    <w:rsid w:val="00562DE0"/>
    <w:rsid w:val="005A5B0D"/>
    <w:rsid w:val="005C3366"/>
    <w:rsid w:val="0064024C"/>
    <w:rsid w:val="00696EA6"/>
    <w:rsid w:val="00696FDE"/>
    <w:rsid w:val="007876C6"/>
    <w:rsid w:val="008C6CDF"/>
    <w:rsid w:val="00932348"/>
    <w:rsid w:val="00962F13"/>
    <w:rsid w:val="00A012B3"/>
    <w:rsid w:val="00A13F1E"/>
    <w:rsid w:val="00C368F4"/>
    <w:rsid w:val="00C82C64"/>
    <w:rsid w:val="00E83D7B"/>
    <w:rsid w:val="00EA465C"/>
    <w:rsid w:val="00EB3574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32FA8D-40D7-4E6E-A7E5-829F7712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3</cp:revision>
  <dcterms:created xsi:type="dcterms:W3CDTF">2020-04-27T20:21:00Z</dcterms:created>
  <dcterms:modified xsi:type="dcterms:W3CDTF">2020-04-27T22:04:00Z</dcterms:modified>
</cp:coreProperties>
</file>