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6E24" w14:textId="77777777" w:rsidR="000E3EB3" w:rsidRDefault="000E3EB3" w:rsidP="000E3EB3">
      <w:pPr>
        <w:widowControl w:val="0"/>
        <w:autoSpaceDE w:val="0"/>
        <w:autoSpaceDN w:val="0"/>
        <w:adjustRightInd w:val="0"/>
      </w:pPr>
    </w:p>
    <w:p w14:paraId="307836A4" w14:textId="77777777" w:rsidR="000E3EB3" w:rsidRDefault="000E3EB3" w:rsidP="000E3EB3">
      <w:pPr>
        <w:widowControl w:val="0"/>
        <w:autoSpaceDE w:val="0"/>
        <w:autoSpaceDN w:val="0"/>
        <w:adjustRightInd w:val="0"/>
      </w:pPr>
      <w:r>
        <w:rPr>
          <w:b/>
          <w:bCs/>
        </w:rPr>
        <w:t>Section 611.602  Asbestos Monitoring Frequency</w:t>
      </w:r>
      <w:r>
        <w:t xml:space="preserve"> </w:t>
      </w:r>
    </w:p>
    <w:p w14:paraId="0ED50A12" w14:textId="77777777" w:rsidR="000E3EB3" w:rsidRDefault="000E3EB3" w:rsidP="000E3EB3">
      <w:pPr>
        <w:widowControl w:val="0"/>
        <w:autoSpaceDE w:val="0"/>
        <w:autoSpaceDN w:val="0"/>
        <w:adjustRightInd w:val="0"/>
      </w:pPr>
    </w:p>
    <w:p w14:paraId="1DF01BE0" w14:textId="77777777" w:rsidR="000E3EB3" w:rsidRDefault="000E3EB3" w:rsidP="000E3EB3">
      <w:pPr>
        <w:widowControl w:val="0"/>
        <w:autoSpaceDE w:val="0"/>
        <w:autoSpaceDN w:val="0"/>
        <w:adjustRightInd w:val="0"/>
      </w:pPr>
      <w:r>
        <w:t xml:space="preserve">The frequency of monitoring conducted to determine compliance with the MCL for asbestos in Section 611.301 is as follows: </w:t>
      </w:r>
    </w:p>
    <w:p w14:paraId="1F6A10DB" w14:textId="77777777" w:rsidR="00D33151" w:rsidRDefault="00D33151" w:rsidP="000E3EB3">
      <w:pPr>
        <w:widowControl w:val="0"/>
        <w:autoSpaceDE w:val="0"/>
        <w:autoSpaceDN w:val="0"/>
        <w:adjustRightInd w:val="0"/>
      </w:pPr>
    </w:p>
    <w:p w14:paraId="4315690A" w14:textId="77777777" w:rsidR="000E3EB3" w:rsidRDefault="000E3EB3" w:rsidP="000E3EB3">
      <w:pPr>
        <w:widowControl w:val="0"/>
        <w:autoSpaceDE w:val="0"/>
        <w:autoSpaceDN w:val="0"/>
        <w:adjustRightInd w:val="0"/>
        <w:ind w:left="1440" w:hanging="720"/>
      </w:pPr>
      <w:r>
        <w:t>a)</w:t>
      </w:r>
      <w:r>
        <w:tab/>
        <w:t>Unless the Agency has determined under subsection (c)</w:t>
      </w:r>
      <w:r w:rsidR="00395B92">
        <w:t xml:space="preserve"> </w:t>
      </w:r>
      <w:r>
        <w:t xml:space="preserve">that the PWS is not vulnerable, each CWS and NTNCWS supplier must monitor for asbestos during the first compliance period of each compliance cycle. </w:t>
      </w:r>
    </w:p>
    <w:p w14:paraId="276B896A" w14:textId="77777777" w:rsidR="00D33151" w:rsidRDefault="00D33151" w:rsidP="00726327">
      <w:pPr>
        <w:widowControl w:val="0"/>
        <w:autoSpaceDE w:val="0"/>
        <w:autoSpaceDN w:val="0"/>
        <w:adjustRightInd w:val="0"/>
      </w:pPr>
    </w:p>
    <w:p w14:paraId="638366BF" w14:textId="77777777" w:rsidR="000E3EB3" w:rsidRDefault="000E3EB3" w:rsidP="000E3EB3">
      <w:pPr>
        <w:widowControl w:val="0"/>
        <w:autoSpaceDE w:val="0"/>
        <w:autoSpaceDN w:val="0"/>
        <w:adjustRightInd w:val="0"/>
        <w:ind w:left="1440" w:hanging="720"/>
      </w:pPr>
      <w:r>
        <w:t>b)</w:t>
      </w:r>
      <w:r>
        <w:tab/>
        <w:t xml:space="preserve">CWS suppliers may apply to the Agency, by way of an application for a SEP, for a determination that the CWS is not vulnerable based on consideration of the criteria listed in subsection (c). </w:t>
      </w:r>
    </w:p>
    <w:p w14:paraId="430992EA" w14:textId="77777777" w:rsidR="00D33151" w:rsidRDefault="00D33151" w:rsidP="00726327">
      <w:pPr>
        <w:widowControl w:val="0"/>
        <w:autoSpaceDE w:val="0"/>
        <w:autoSpaceDN w:val="0"/>
        <w:adjustRightInd w:val="0"/>
      </w:pPr>
    </w:p>
    <w:p w14:paraId="6155F991" w14:textId="77777777" w:rsidR="000E3EB3" w:rsidRDefault="000E3EB3" w:rsidP="000E3EB3">
      <w:pPr>
        <w:widowControl w:val="0"/>
        <w:autoSpaceDE w:val="0"/>
        <w:autoSpaceDN w:val="0"/>
        <w:adjustRightInd w:val="0"/>
        <w:ind w:left="1440" w:hanging="720"/>
      </w:pPr>
      <w:r>
        <w:t>c)</w:t>
      </w:r>
      <w:r>
        <w:tab/>
        <w:t xml:space="preserve">The Agency must determine that the CWS is "not vulnerable" if the CWS is not vulnerable to contamination either from asbestos in its source water, from corrosion of asbestos-cement pipe, or from both, based on a consideration of the following factors: </w:t>
      </w:r>
    </w:p>
    <w:p w14:paraId="3A54125B" w14:textId="77777777" w:rsidR="00D33151" w:rsidRDefault="00D33151" w:rsidP="00726327">
      <w:pPr>
        <w:widowControl w:val="0"/>
        <w:autoSpaceDE w:val="0"/>
        <w:autoSpaceDN w:val="0"/>
        <w:adjustRightInd w:val="0"/>
      </w:pPr>
    </w:p>
    <w:p w14:paraId="46510F5D" w14:textId="77777777" w:rsidR="000E3EB3" w:rsidRDefault="000E3EB3" w:rsidP="000E3EB3">
      <w:pPr>
        <w:widowControl w:val="0"/>
        <w:autoSpaceDE w:val="0"/>
        <w:autoSpaceDN w:val="0"/>
        <w:adjustRightInd w:val="0"/>
        <w:ind w:left="2160" w:hanging="720"/>
      </w:pPr>
      <w:r>
        <w:t>1)</w:t>
      </w:r>
      <w:r>
        <w:tab/>
        <w:t xml:space="preserve">Potential asbestos contamination of the water source; and </w:t>
      </w:r>
    </w:p>
    <w:p w14:paraId="2EC7489D" w14:textId="77777777" w:rsidR="00D33151" w:rsidRDefault="00D33151" w:rsidP="00726327">
      <w:pPr>
        <w:widowControl w:val="0"/>
        <w:autoSpaceDE w:val="0"/>
        <w:autoSpaceDN w:val="0"/>
        <w:adjustRightInd w:val="0"/>
      </w:pPr>
    </w:p>
    <w:p w14:paraId="2E39831B" w14:textId="77777777" w:rsidR="000E3EB3" w:rsidRDefault="000E3EB3" w:rsidP="000E3EB3">
      <w:pPr>
        <w:widowControl w:val="0"/>
        <w:autoSpaceDE w:val="0"/>
        <w:autoSpaceDN w:val="0"/>
        <w:adjustRightInd w:val="0"/>
        <w:ind w:left="2160" w:hanging="720"/>
      </w:pPr>
      <w:r>
        <w:t>2)</w:t>
      </w:r>
      <w:r>
        <w:tab/>
        <w:t xml:space="preserve">The use of asbestos-cement pipe for finished water distribution and the corrosive nature of the water. </w:t>
      </w:r>
    </w:p>
    <w:p w14:paraId="6F677501" w14:textId="77777777" w:rsidR="00D33151" w:rsidRDefault="00D33151" w:rsidP="00726327">
      <w:pPr>
        <w:widowControl w:val="0"/>
        <w:autoSpaceDE w:val="0"/>
        <w:autoSpaceDN w:val="0"/>
        <w:adjustRightInd w:val="0"/>
      </w:pPr>
    </w:p>
    <w:p w14:paraId="6F008B2A" w14:textId="77777777" w:rsidR="000E3EB3" w:rsidRDefault="000E3EB3" w:rsidP="000E3EB3">
      <w:pPr>
        <w:widowControl w:val="0"/>
        <w:autoSpaceDE w:val="0"/>
        <w:autoSpaceDN w:val="0"/>
        <w:adjustRightInd w:val="0"/>
        <w:ind w:left="1440" w:hanging="720"/>
      </w:pPr>
      <w:r>
        <w:t>d)</w:t>
      </w:r>
      <w:r>
        <w:tab/>
        <w:t xml:space="preserve">A SEP based on a determination that a CWS is not vulnerable to asbestos contamination expires at the end of the compliance cycle for which it was issued. </w:t>
      </w:r>
    </w:p>
    <w:p w14:paraId="02E7C85E" w14:textId="77777777" w:rsidR="00D33151" w:rsidRDefault="00D33151" w:rsidP="00726327">
      <w:pPr>
        <w:widowControl w:val="0"/>
        <w:autoSpaceDE w:val="0"/>
        <w:autoSpaceDN w:val="0"/>
        <w:adjustRightInd w:val="0"/>
      </w:pPr>
    </w:p>
    <w:p w14:paraId="10FE663D" w14:textId="24F4EDD9" w:rsidR="000E3EB3" w:rsidRDefault="000E3EB3" w:rsidP="000E3EB3">
      <w:pPr>
        <w:widowControl w:val="0"/>
        <w:autoSpaceDE w:val="0"/>
        <w:autoSpaceDN w:val="0"/>
        <w:adjustRightInd w:val="0"/>
        <w:ind w:left="1440" w:hanging="720"/>
      </w:pPr>
      <w:r>
        <w:t>e)</w:t>
      </w:r>
      <w:r>
        <w:tab/>
        <w:t xml:space="preserve">A supplier of a PWS vulnerable to asbestos contamination due solely to corrosion of asbestos-cement pipe must take one sample at a tap served by asbestos-cement pipe and under conditions </w:t>
      </w:r>
      <w:r w:rsidR="00E46277">
        <w:t>that</w:t>
      </w:r>
      <w:r>
        <w:t xml:space="preserve"> asbestos contamination is most likely to occur. </w:t>
      </w:r>
    </w:p>
    <w:p w14:paraId="0AA4EC76" w14:textId="77777777" w:rsidR="00D33151" w:rsidRDefault="00D33151" w:rsidP="00726327">
      <w:pPr>
        <w:widowControl w:val="0"/>
        <w:autoSpaceDE w:val="0"/>
        <w:autoSpaceDN w:val="0"/>
        <w:adjustRightInd w:val="0"/>
      </w:pPr>
    </w:p>
    <w:p w14:paraId="74101B1E" w14:textId="63556097" w:rsidR="000E3EB3" w:rsidRDefault="000E3EB3" w:rsidP="000E3EB3">
      <w:pPr>
        <w:widowControl w:val="0"/>
        <w:autoSpaceDE w:val="0"/>
        <w:autoSpaceDN w:val="0"/>
        <w:adjustRightInd w:val="0"/>
        <w:ind w:left="1440" w:hanging="720"/>
      </w:pPr>
      <w:r>
        <w:t>f)</w:t>
      </w:r>
      <w:r>
        <w:tab/>
        <w:t xml:space="preserve">A supplier of a PWS vulnerable to asbestos contamination due solely to source water must monitor in </w:t>
      </w:r>
      <w:r w:rsidR="0070075D">
        <w:t>compliance</w:t>
      </w:r>
      <w:r>
        <w:t xml:space="preserve"> with Section 611.601. </w:t>
      </w:r>
    </w:p>
    <w:p w14:paraId="28ED4D34" w14:textId="77777777" w:rsidR="00D33151" w:rsidRDefault="00D33151" w:rsidP="00726327">
      <w:pPr>
        <w:widowControl w:val="0"/>
        <w:autoSpaceDE w:val="0"/>
        <w:autoSpaceDN w:val="0"/>
        <w:adjustRightInd w:val="0"/>
      </w:pPr>
    </w:p>
    <w:p w14:paraId="32B78EBF" w14:textId="5D677AFD" w:rsidR="000E3EB3" w:rsidRDefault="000E3EB3" w:rsidP="000E3EB3">
      <w:pPr>
        <w:widowControl w:val="0"/>
        <w:autoSpaceDE w:val="0"/>
        <w:autoSpaceDN w:val="0"/>
        <w:adjustRightInd w:val="0"/>
        <w:ind w:left="1440" w:hanging="720"/>
      </w:pPr>
      <w:r>
        <w:t>g)</w:t>
      </w:r>
      <w:r>
        <w:tab/>
        <w:t xml:space="preserve">A supplier of a PWS vulnerable to asbestos contamination due both to its source water supply and corrosion of asbestos-cement pipe must take one sample at a tap served by asbestos-cement pipe and under conditions </w:t>
      </w:r>
      <w:r w:rsidR="00E46277">
        <w:t>that</w:t>
      </w:r>
      <w:r>
        <w:t xml:space="preserve"> asbestos contamination is most likely to occur. </w:t>
      </w:r>
    </w:p>
    <w:p w14:paraId="46EBFA78" w14:textId="77777777" w:rsidR="00D33151" w:rsidRDefault="00D33151" w:rsidP="00726327">
      <w:pPr>
        <w:widowControl w:val="0"/>
        <w:autoSpaceDE w:val="0"/>
        <w:autoSpaceDN w:val="0"/>
        <w:adjustRightInd w:val="0"/>
      </w:pPr>
    </w:p>
    <w:p w14:paraId="65F4B990" w14:textId="77777777" w:rsidR="000E3EB3" w:rsidRDefault="000E3EB3" w:rsidP="000E3EB3">
      <w:pPr>
        <w:widowControl w:val="0"/>
        <w:autoSpaceDE w:val="0"/>
        <w:autoSpaceDN w:val="0"/>
        <w:adjustRightInd w:val="0"/>
        <w:ind w:left="1440" w:hanging="720"/>
      </w:pPr>
      <w:r>
        <w:t>h)</w:t>
      </w:r>
      <w:r>
        <w:tab/>
        <w:t xml:space="preserve">A supplier that exceeds the MCL, as determined in Section 611.609, must monitor quarterly beginning in the next quarter after the violation occurred. </w:t>
      </w:r>
    </w:p>
    <w:p w14:paraId="787FBFB2" w14:textId="77777777" w:rsidR="00D33151" w:rsidRDefault="00D33151" w:rsidP="00726327">
      <w:pPr>
        <w:widowControl w:val="0"/>
        <w:autoSpaceDE w:val="0"/>
        <w:autoSpaceDN w:val="0"/>
        <w:adjustRightInd w:val="0"/>
      </w:pPr>
    </w:p>
    <w:p w14:paraId="57EA0F91" w14:textId="77777777" w:rsidR="000E3EB3" w:rsidRDefault="000E3EB3" w:rsidP="000E3EB3">
      <w:pPr>
        <w:widowControl w:val="0"/>
        <w:autoSpaceDE w:val="0"/>
        <w:autoSpaceDN w:val="0"/>
        <w:adjustRightInd w:val="0"/>
        <w:ind w:left="1440" w:hanging="720"/>
      </w:pPr>
      <w:r>
        <w:t>i)</w:t>
      </w:r>
      <w:r>
        <w:tab/>
        <w:t xml:space="preserve">Reduction of </w:t>
      </w:r>
      <w:r w:rsidR="004F3317">
        <w:t>Quarterly Monitoring</w:t>
      </w:r>
    </w:p>
    <w:p w14:paraId="496409EA" w14:textId="77777777" w:rsidR="00D33151" w:rsidRDefault="00D33151" w:rsidP="00726327">
      <w:pPr>
        <w:widowControl w:val="0"/>
        <w:autoSpaceDE w:val="0"/>
        <w:autoSpaceDN w:val="0"/>
        <w:adjustRightInd w:val="0"/>
      </w:pPr>
    </w:p>
    <w:p w14:paraId="1DDD207D" w14:textId="77777777" w:rsidR="000E3EB3" w:rsidRDefault="000E3EB3" w:rsidP="000E3EB3">
      <w:pPr>
        <w:widowControl w:val="0"/>
        <w:autoSpaceDE w:val="0"/>
        <w:autoSpaceDN w:val="0"/>
        <w:adjustRightInd w:val="0"/>
        <w:ind w:left="2160" w:hanging="720"/>
      </w:pPr>
      <w:r>
        <w:t>1)</w:t>
      </w:r>
      <w:r>
        <w:tab/>
        <w:t>The Agency must issue a SEP that reduces the monitoring frequency to that specified by subsection (a)</w:t>
      </w:r>
      <w:r w:rsidR="00395B92">
        <w:t xml:space="preserve"> </w:t>
      </w:r>
      <w:r>
        <w:t xml:space="preserve">if it determines that the sampling point is </w:t>
      </w:r>
      <w:r>
        <w:lastRenderedPageBreak/>
        <w:t xml:space="preserve">reliably and consistently below the MCL. </w:t>
      </w:r>
    </w:p>
    <w:p w14:paraId="47342404" w14:textId="77777777" w:rsidR="00D33151" w:rsidRDefault="00D33151" w:rsidP="00726327">
      <w:pPr>
        <w:widowControl w:val="0"/>
        <w:autoSpaceDE w:val="0"/>
        <w:autoSpaceDN w:val="0"/>
        <w:adjustRightInd w:val="0"/>
      </w:pPr>
    </w:p>
    <w:p w14:paraId="365687AB" w14:textId="77777777" w:rsidR="000E3EB3" w:rsidRDefault="000E3EB3" w:rsidP="000E3EB3">
      <w:pPr>
        <w:widowControl w:val="0"/>
        <w:autoSpaceDE w:val="0"/>
        <w:autoSpaceDN w:val="0"/>
        <w:adjustRightInd w:val="0"/>
        <w:ind w:left="2160" w:hanging="720"/>
      </w:pPr>
      <w:r>
        <w:t>2)</w:t>
      </w:r>
      <w:r>
        <w:tab/>
        <w:t xml:space="preserve">The request must, at a minimum, include the following information: </w:t>
      </w:r>
    </w:p>
    <w:p w14:paraId="309F7946" w14:textId="77777777" w:rsidR="00D33151" w:rsidRDefault="00D33151" w:rsidP="00726327">
      <w:pPr>
        <w:widowControl w:val="0"/>
        <w:autoSpaceDE w:val="0"/>
        <w:autoSpaceDN w:val="0"/>
        <w:adjustRightInd w:val="0"/>
      </w:pPr>
    </w:p>
    <w:p w14:paraId="70FC3736" w14:textId="77777777" w:rsidR="000E3EB3" w:rsidRDefault="000E3EB3" w:rsidP="000E3EB3">
      <w:pPr>
        <w:widowControl w:val="0"/>
        <w:autoSpaceDE w:val="0"/>
        <w:autoSpaceDN w:val="0"/>
        <w:adjustRightInd w:val="0"/>
        <w:ind w:left="2880" w:hanging="720"/>
      </w:pPr>
      <w:r>
        <w:t>A)</w:t>
      </w:r>
      <w:r>
        <w:tab/>
        <w:t xml:space="preserve">For a GWS:  two quarterly samples. </w:t>
      </w:r>
    </w:p>
    <w:p w14:paraId="16DF0915" w14:textId="77777777" w:rsidR="00D33151" w:rsidRDefault="00D33151" w:rsidP="00726327">
      <w:pPr>
        <w:widowControl w:val="0"/>
        <w:autoSpaceDE w:val="0"/>
        <w:autoSpaceDN w:val="0"/>
        <w:adjustRightInd w:val="0"/>
      </w:pPr>
    </w:p>
    <w:p w14:paraId="056C24DA" w14:textId="77777777" w:rsidR="000E3EB3" w:rsidRDefault="000E3EB3" w:rsidP="000E3EB3">
      <w:pPr>
        <w:widowControl w:val="0"/>
        <w:autoSpaceDE w:val="0"/>
        <w:autoSpaceDN w:val="0"/>
        <w:adjustRightInd w:val="0"/>
        <w:ind w:left="2880" w:hanging="720"/>
      </w:pPr>
      <w:r>
        <w:t>B)</w:t>
      </w:r>
      <w:r>
        <w:tab/>
        <w:t xml:space="preserve">For an SWS or mixed system:  four quarterly samples. </w:t>
      </w:r>
    </w:p>
    <w:p w14:paraId="20CE77D8" w14:textId="77777777" w:rsidR="00D33151" w:rsidRDefault="00D33151" w:rsidP="00726327">
      <w:pPr>
        <w:widowControl w:val="0"/>
        <w:autoSpaceDE w:val="0"/>
        <w:autoSpaceDN w:val="0"/>
        <w:adjustRightInd w:val="0"/>
      </w:pPr>
    </w:p>
    <w:p w14:paraId="2BD8593C" w14:textId="77777777" w:rsidR="000E3EB3" w:rsidRDefault="000E3EB3" w:rsidP="000E3EB3">
      <w:pPr>
        <w:widowControl w:val="0"/>
        <w:autoSpaceDE w:val="0"/>
        <w:autoSpaceDN w:val="0"/>
        <w:adjustRightInd w:val="0"/>
        <w:ind w:left="2160" w:hanging="720"/>
      </w:pPr>
      <w:r>
        <w:t>3)</w:t>
      </w:r>
      <w:r>
        <w:tab/>
        <w:t xml:space="preserve">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w:t>
      </w:r>
      <w:r w:rsidR="001600DA">
        <w:t>under</w:t>
      </w:r>
      <w:r>
        <w:t xml:space="preserve"> subsection (h) if it violates the MCL specified by Section 611.609. </w:t>
      </w:r>
    </w:p>
    <w:p w14:paraId="25E41C61" w14:textId="77777777" w:rsidR="00D33151" w:rsidRDefault="00D33151" w:rsidP="00726327">
      <w:pPr>
        <w:widowControl w:val="0"/>
        <w:autoSpaceDE w:val="0"/>
        <w:autoSpaceDN w:val="0"/>
        <w:adjustRightInd w:val="0"/>
      </w:pPr>
    </w:p>
    <w:p w14:paraId="3B2176F3" w14:textId="77777777" w:rsidR="000E3EB3" w:rsidRDefault="000E3EB3" w:rsidP="000E3EB3">
      <w:pPr>
        <w:widowControl w:val="0"/>
        <w:autoSpaceDE w:val="0"/>
        <w:autoSpaceDN w:val="0"/>
        <w:adjustRightInd w:val="0"/>
        <w:ind w:left="1440" w:hanging="720"/>
      </w:pPr>
      <w:r>
        <w:t>j)</w:t>
      </w:r>
      <w:r>
        <w:tab/>
      </w:r>
      <w:r w:rsidR="00395B92">
        <w:t>This subsection (j) corresponds with 40 CFR 141.23(b)(10), which pertains to a compliance period long since expired.  This statement maintains structural consistency with the federal regulations.</w:t>
      </w:r>
      <w:r>
        <w:t xml:space="preserve"> </w:t>
      </w:r>
    </w:p>
    <w:p w14:paraId="0DDD2D95" w14:textId="77777777" w:rsidR="00D33151" w:rsidRDefault="00D33151" w:rsidP="000E3EB3">
      <w:pPr>
        <w:widowControl w:val="0"/>
        <w:autoSpaceDE w:val="0"/>
        <w:autoSpaceDN w:val="0"/>
        <w:adjustRightInd w:val="0"/>
      </w:pPr>
    </w:p>
    <w:p w14:paraId="792A76C8" w14:textId="77777777" w:rsidR="000E3EB3" w:rsidRDefault="000E3EB3" w:rsidP="000E3EB3">
      <w:pPr>
        <w:widowControl w:val="0"/>
        <w:autoSpaceDE w:val="0"/>
        <w:autoSpaceDN w:val="0"/>
        <w:adjustRightInd w:val="0"/>
      </w:pPr>
      <w:r>
        <w:t xml:space="preserve">BOARD NOTE:  Derived from 40 CFR 141.23(b). </w:t>
      </w:r>
    </w:p>
    <w:p w14:paraId="6D1BC5B3" w14:textId="77777777" w:rsidR="000E3EB3" w:rsidRDefault="000E3EB3" w:rsidP="000E3EB3">
      <w:pPr>
        <w:widowControl w:val="0"/>
        <w:autoSpaceDE w:val="0"/>
        <w:autoSpaceDN w:val="0"/>
        <w:adjustRightInd w:val="0"/>
      </w:pPr>
    </w:p>
    <w:p w14:paraId="5D7C455C" w14:textId="15477AD4" w:rsidR="00FE384C" w:rsidRDefault="0070075D" w:rsidP="00FE384C">
      <w:pPr>
        <w:pStyle w:val="JCARSourceNote"/>
        <w:ind w:left="720"/>
      </w:pPr>
      <w:r w:rsidRPr="004E27CF">
        <w:t xml:space="preserve">(Source:  Amended at </w:t>
      </w:r>
      <w:r w:rsidR="00161C3A">
        <w:t>50</w:t>
      </w:r>
      <w:r w:rsidRPr="004E27CF">
        <w:t xml:space="preserve"> Ill. Reg. </w:t>
      </w:r>
      <w:r w:rsidR="00DA4C5A">
        <w:t>2531</w:t>
      </w:r>
      <w:r w:rsidRPr="004E27CF">
        <w:t xml:space="preserve">, effective </w:t>
      </w:r>
      <w:r w:rsidR="00DA4C5A">
        <w:t>February 17, 2026</w:t>
      </w:r>
      <w:r w:rsidRPr="004E27CF">
        <w:t>)</w:t>
      </w:r>
    </w:p>
    <w:sectPr w:rsidR="00FE384C" w:rsidSect="000E3E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3EB3"/>
    <w:rsid w:val="00041251"/>
    <w:rsid w:val="000A48DC"/>
    <w:rsid w:val="000E3EB3"/>
    <w:rsid w:val="00130E94"/>
    <w:rsid w:val="00136A9E"/>
    <w:rsid w:val="001600DA"/>
    <w:rsid w:val="00161C3A"/>
    <w:rsid w:val="00374B69"/>
    <w:rsid w:val="00395B92"/>
    <w:rsid w:val="004070E0"/>
    <w:rsid w:val="004C3079"/>
    <w:rsid w:val="004F3317"/>
    <w:rsid w:val="00533053"/>
    <w:rsid w:val="005C3366"/>
    <w:rsid w:val="00605AF4"/>
    <w:rsid w:val="00681E28"/>
    <w:rsid w:val="006E50D9"/>
    <w:rsid w:val="006F157F"/>
    <w:rsid w:val="0070075D"/>
    <w:rsid w:val="00726327"/>
    <w:rsid w:val="009F6D91"/>
    <w:rsid w:val="00B8232F"/>
    <w:rsid w:val="00C13E52"/>
    <w:rsid w:val="00D33151"/>
    <w:rsid w:val="00DA4C5A"/>
    <w:rsid w:val="00E15E5D"/>
    <w:rsid w:val="00E46277"/>
    <w:rsid w:val="00F53E95"/>
    <w:rsid w:val="00FE384C"/>
    <w:rsid w:val="00FF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34431F"/>
  <w15:docId w15:val="{877451F1-5B19-4EEA-BFF8-97282451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6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