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A9" w:rsidRDefault="005410A9" w:rsidP="005410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10A9" w:rsidRDefault="005410A9" w:rsidP="005410A9">
      <w:pPr>
        <w:widowControl w:val="0"/>
        <w:autoSpaceDE w:val="0"/>
        <w:autoSpaceDN w:val="0"/>
        <w:adjustRightInd w:val="0"/>
        <w:jc w:val="center"/>
      </w:pPr>
      <w:r>
        <w:t>SUBPART M:  TURBIDITY MONITORING AND ANALYTICAL REQUIREMENTS</w:t>
      </w:r>
    </w:p>
    <w:sectPr w:rsidR="005410A9" w:rsidSect="005410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10A9"/>
    <w:rsid w:val="003E40D2"/>
    <w:rsid w:val="005410A9"/>
    <w:rsid w:val="005C3366"/>
    <w:rsid w:val="00AD65D4"/>
    <w:rsid w:val="00D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TURBIDITY MONITORING AND ANALYTICAL REQUIREMENTS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TURBIDITY MONITORING AND ANALYTICAL REQUIREMENTS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