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B882" w14:textId="77777777" w:rsidR="00624BE2" w:rsidRDefault="00624BE2" w:rsidP="00624BE2">
      <w:pPr>
        <w:widowControl w:val="0"/>
        <w:autoSpaceDE w:val="0"/>
        <w:autoSpaceDN w:val="0"/>
        <w:adjustRightInd w:val="0"/>
      </w:pPr>
    </w:p>
    <w:p w14:paraId="44494D6F" w14:textId="77777777" w:rsidR="00624BE2" w:rsidRDefault="00624BE2" w:rsidP="00624B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611.533  Filtered PWSs</w:t>
      </w:r>
      <w:r>
        <w:t xml:space="preserve"> </w:t>
      </w:r>
    </w:p>
    <w:p w14:paraId="4B2C7F0E" w14:textId="77777777" w:rsidR="00624BE2" w:rsidRDefault="00624BE2" w:rsidP="00624BE2">
      <w:pPr>
        <w:widowControl w:val="0"/>
        <w:autoSpaceDE w:val="0"/>
        <w:autoSpaceDN w:val="0"/>
        <w:adjustRightInd w:val="0"/>
      </w:pPr>
    </w:p>
    <w:p w14:paraId="05130CDD" w14:textId="44316A45" w:rsidR="00624BE2" w:rsidRDefault="00624BE2" w:rsidP="00624BE2">
      <w:pPr>
        <w:widowControl w:val="0"/>
        <w:autoSpaceDE w:val="0"/>
        <w:autoSpaceDN w:val="0"/>
        <w:adjustRightInd w:val="0"/>
      </w:pPr>
      <w:r>
        <w:t xml:space="preserve">A supplier </w:t>
      </w:r>
      <w:r w:rsidR="00654306">
        <w:t>using</w:t>
      </w:r>
      <w:r>
        <w:t xml:space="preserve"> a surface water source or a groundwater source under the </w:t>
      </w:r>
      <w:r w:rsidR="00654306">
        <w:t xml:space="preserve">direct </w:t>
      </w:r>
      <w:r>
        <w:t xml:space="preserve">influence of surface water and </w:t>
      </w:r>
      <w:r w:rsidR="00654306">
        <w:t>providing</w:t>
      </w:r>
      <w:r>
        <w:t xml:space="preserve"> filtration treatment must monitor in </w:t>
      </w:r>
      <w:r w:rsidR="00BE1D74">
        <w:t>compliance</w:t>
      </w:r>
      <w:r>
        <w:t xml:space="preserve"> with this Section. </w:t>
      </w:r>
    </w:p>
    <w:p w14:paraId="46E1266B" w14:textId="77777777" w:rsidR="00624BE2" w:rsidRDefault="00624BE2" w:rsidP="00624BE2">
      <w:pPr>
        <w:widowControl w:val="0"/>
        <w:autoSpaceDE w:val="0"/>
        <w:autoSpaceDN w:val="0"/>
        <w:adjustRightInd w:val="0"/>
      </w:pPr>
    </w:p>
    <w:p w14:paraId="468BB02F" w14:textId="7358AFE8" w:rsidR="00624BE2" w:rsidRDefault="00624BE2" w:rsidP="00624BE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54306">
        <w:t>The supplier must perform turbidity</w:t>
      </w:r>
      <w:r>
        <w:t xml:space="preserve"> measurements Section 611.250 </w:t>
      </w:r>
      <w:r w:rsidR="00654306">
        <w:t>requires</w:t>
      </w:r>
      <w:r>
        <w:t xml:space="preserve"> on representative samples of the PWS's filtered water every four hours (or more frequently) </w:t>
      </w:r>
      <w:r w:rsidR="00654306">
        <w:t>when</w:t>
      </w:r>
      <w:r>
        <w:t xml:space="preserve"> the supplier serves water to the public.  A supplier may substitute continuous turbidity monitoring for grab sample monitoring if it validates the continuous measurement for accuracy on a regular basis using a protocol </w:t>
      </w:r>
      <w:r w:rsidR="00654306">
        <w:t xml:space="preserve">the Agency </w:t>
      </w:r>
      <w:r>
        <w:t xml:space="preserve">approved </w:t>
      </w:r>
      <w:r w:rsidR="00654306">
        <w:t>in</w:t>
      </w:r>
      <w:r>
        <w:t xml:space="preserve"> a SEP.  For </w:t>
      </w:r>
      <w:r w:rsidR="00654306">
        <w:t>a supplier</w:t>
      </w:r>
      <w:r>
        <w:t xml:space="preserve"> using slow sand filtration or filtration treatment other than conventional treatment, direct filtration, or diatomaceous earth filtration, the Agency </w:t>
      </w:r>
      <w:r w:rsidR="005B59EA">
        <w:t>must</w:t>
      </w:r>
      <w:r>
        <w:t xml:space="preserve"> reduce the sampling frequency to once per day </w:t>
      </w:r>
      <w:r w:rsidR="00654306">
        <w:t xml:space="preserve">in a SEP </w:t>
      </w:r>
      <w:r>
        <w:t xml:space="preserve">if </w:t>
      </w:r>
      <w:r w:rsidR="00654306">
        <w:t>the Agency</w:t>
      </w:r>
      <w:r>
        <w:t xml:space="preserve"> determines that less frequent monitoring is sufficient to indicate effective filtration performance.  For </w:t>
      </w:r>
      <w:r w:rsidR="00654306">
        <w:t>a supplier</w:t>
      </w:r>
      <w:r>
        <w:t xml:space="preserve"> serving 500 or fewer persons, the Agency </w:t>
      </w:r>
      <w:r w:rsidR="00943D68">
        <w:t>must</w:t>
      </w:r>
      <w:r>
        <w:t xml:space="preserve"> reduce the turbidity sampling frequency to once per day</w:t>
      </w:r>
      <w:r w:rsidR="00654306">
        <w:t xml:space="preserve"> in a SEP</w:t>
      </w:r>
      <w:r>
        <w:t xml:space="preserve"> if the Agency determines that less frequent monitoring is sufficient to indicate effective filtration performance</w:t>
      </w:r>
      <w:r w:rsidR="00654306">
        <w:t xml:space="preserve"> regardless of the type of filtration treatment used</w:t>
      </w:r>
      <w:r>
        <w:t xml:space="preserve">. </w:t>
      </w:r>
    </w:p>
    <w:p w14:paraId="77F2E8B1" w14:textId="77777777" w:rsidR="00624BE2" w:rsidRDefault="00624BE2" w:rsidP="00624BE2"/>
    <w:p w14:paraId="3CD5C48A" w14:textId="77777777" w:rsidR="00624BE2" w:rsidRDefault="00624BE2" w:rsidP="00624BE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RDC </w:t>
      </w:r>
      <w:r w:rsidR="004E6B68">
        <w:t>Entering Distribution System</w:t>
      </w:r>
      <w:r>
        <w:t xml:space="preserve"> </w:t>
      </w:r>
    </w:p>
    <w:p w14:paraId="6FE1ADE2" w14:textId="77777777" w:rsidR="00624BE2" w:rsidRDefault="00624BE2" w:rsidP="00624BE2"/>
    <w:p w14:paraId="3FD8A971" w14:textId="2F7B9197" w:rsidR="00624BE2" w:rsidRDefault="00624BE2" w:rsidP="00624BE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Suppliers </w:t>
      </w:r>
      <w:r w:rsidR="00654306">
        <w:t>Serving More Than</w:t>
      </w:r>
      <w:r>
        <w:t xml:space="preserve"> 3300 </w:t>
      </w:r>
      <w:r w:rsidR="00654306">
        <w:t>Persons</w:t>
      </w:r>
      <w:r>
        <w:t xml:space="preserve">.  The </w:t>
      </w:r>
      <w:r w:rsidR="00654306">
        <w:t xml:space="preserve">supplier must continuously monitor the </w:t>
      </w:r>
      <w:r>
        <w:t xml:space="preserve">RDC of the water entering the distribution system, and </w:t>
      </w:r>
      <w:r w:rsidR="00654306">
        <w:t xml:space="preserve">the supplier must record </w:t>
      </w:r>
      <w:r>
        <w:t>the lowest value each day, except that</w:t>
      </w:r>
      <w:r w:rsidR="00654306">
        <w:t xml:space="preserve"> the supplier may conduct</w:t>
      </w:r>
      <w:r>
        <w:t xml:space="preserve"> grab sampling every four hours in lieu of continuous monitoring</w:t>
      </w:r>
      <w:r w:rsidR="00654306">
        <w:t xml:space="preserve"> if there is a failure in the continuous monitoring equipment</w:t>
      </w:r>
      <w:r>
        <w:t xml:space="preserve">, but </w:t>
      </w:r>
      <w:r w:rsidR="00654306">
        <w:t xml:space="preserve">not </w:t>
      </w:r>
      <w:r>
        <w:t>for more than five working days following the equipment</w:t>
      </w:r>
      <w:r w:rsidR="00654306">
        <w:t xml:space="preserve"> failure</w:t>
      </w:r>
      <w:r>
        <w:t xml:space="preserve">. </w:t>
      </w:r>
    </w:p>
    <w:p w14:paraId="75E93514" w14:textId="77777777" w:rsidR="00624BE2" w:rsidRDefault="00624BE2" w:rsidP="00624BE2"/>
    <w:p w14:paraId="0EA64917" w14:textId="666A8512" w:rsidR="00624BE2" w:rsidRDefault="00624BE2" w:rsidP="00624BE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Suppliers </w:t>
      </w:r>
      <w:r w:rsidR="00654306">
        <w:t>Serving</w:t>
      </w:r>
      <w:r>
        <w:t xml:space="preserve"> 3,300 or </w:t>
      </w:r>
      <w:r w:rsidR="00654306">
        <w:t>Fewer Persons.  The supplier</w:t>
      </w:r>
      <w:r>
        <w:t xml:space="preserve"> may take grab samples in lieu of providing continuous monitoring on an ongoing basis at the frequencies each day Table C</w:t>
      </w:r>
      <w:r w:rsidR="00654306">
        <w:t xml:space="preserve"> prescribes</w:t>
      </w:r>
      <w:r>
        <w:t>. If at any time the RDC falls below 0.2 mg/</w:t>
      </w:r>
      <w:r w:rsidR="00951DA6">
        <w:t>L</w:t>
      </w:r>
      <w:r>
        <w:t xml:space="preserve"> in a system using grab sampling in lieu of continuous monitoring, the supplier must take a grab sample every four hours until RDC is equal to or greater than 0.2 mg/</w:t>
      </w:r>
      <w:r w:rsidR="00951DA6">
        <w:t>L</w:t>
      </w:r>
      <w:r>
        <w:t xml:space="preserve">. </w:t>
      </w:r>
    </w:p>
    <w:p w14:paraId="1C4E9E8C" w14:textId="77777777" w:rsidR="00624BE2" w:rsidRDefault="00624BE2" w:rsidP="00624BE2"/>
    <w:p w14:paraId="0F251443" w14:textId="77777777" w:rsidR="00624BE2" w:rsidRDefault="00624BE2" w:rsidP="00624BE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Points of </w:t>
      </w:r>
      <w:r w:rsidR="004E6B68">
        <w:t>Measurement</w:t>
      </w:r>
      <w:r>
        <w:t xml:space="preserve"> </w:t>
      </w:r>
    </w:p>
    <w:p w14:paraId="1C87190C" w14:textId="77777777" w:rsidR="00624BE2" w:rsidRDefault="00624BE2" w:rsidP="00624BE2"/>
    <w:p w14:paraId="05D89883" w14:textId="36C6BC1F" w:rsidR="00624BE2" w:rsidRDefault="00624BE2" w:rsidP="00624BE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12A67">
        <w:t>The</w:t>
      </w:r>
      <w:r>
        <w:t xml:space="preserve"> </w:t>
      </w:r>
      <w:r w:rsidR="0024146D">
        <w:t>s</w:t>
      </w:r>
      <w:r w:rsidR="00654306">
        <w:t xml:space="preserve">upplier must measure the </w:t>
      </w:r>
      <w:r>
        <w:t xml:space="preserve">RDC at least at the same points in the distribution system and at the same time as </w:t>
      </w:r>
      <w:r w:rsidR="00654306">
        <w:t xml:space="preserve">sampling </w:t>
      </w:r>
      <w:r>
        <w:t>total coliforms, as Sections 611.1054 through 611.1058</w:t>
      </w:r>
      <w:r w:rsidR="00654306">
        <w:t xml:space="preserve"> specify</w:t>
      </w:r>
      <w:r>
        <w:t xml:space="preserve">. The Agency must allow a supplier </w:t>
      </w:r>
      <w:r w:rsidR="00654306">
        <w:t>using</w:t>
      </w:r>
      <w:r>
        <w:t xml:space="preserve"> both a surface water source</w:t>
      </w:r>
      <w:r w:rsidR="00654306">
        <w:t xml:space="preserve"> and a groundwater source</w:t>
      </w:r>
      <w:r>
        <w:t xml:space="preserve"> or a groundwater source under direct influence of surface water and a groundwater source to take RDC samples at points other than the total </w:t>
      </w:r>
      <w:r>
        <w:lastRenderedPageBreak/>
        <w:t xml:space="preserve">coliform sampling points if the Agency determines that </w:t>
      </w:r>
      <w:r w:rsidR="00745CE2">
        <w:t>those</w:t>
      </w:r>
      <w:r>
        <w:t xml:space="preserve"> points are more representative of treated (disinfected) water quality within the distribution system.  </w:t>
      </w:r>
      <w:r w:rsidR="00654306">
        <w:t xml:space="preserve">The supplier may measure </w:t>
      </w:r>
      <w:r>
        <w:t>HPC, as Section 611.531(a)</w:t>
      </w:r>
      <w:r w:rsidR="00654306">
        <w:t xml:space="preserve"> specifies</w:t>
      </w:r>
      <w:r>
        <w:t xml:space="preserve">, in lieu of RDC. </w:t>
      </w:r>
    </w:p>
    <w:p w14:paraId="615F8113" w14:textId="77777777" w:rsidR="00624BE2" w:rsidRDefault="00624BE2" w:rsidP="00624BE2"/>
    <w:p w14:paraId="27E7AB8B" w14:textId="59D91E3B" w:rsidR="00624BE2" w:rsidRDefault="00624BE2" w:rsidP="00624BE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Subsection (c)(1) does not apply if the Agency determines </w:t>
      </w:r>
      <w:r w:rsidR="00943D68">
        <w:t>under</w:t>
      </w:r>
      <w:r>
        <w:t xml:space="preserve"> Section 611.213(c) that a system has no means for having a certified laboratory </w:t>
      </w:r>
      <w:r w:rsidR="00654306">
        <w:t xml:space="preserve">analyze a sample for PHC </w:t>
      </w:r>
      <w:r>
        <w:t xml:space="preserve">under the requisite time and temperature conditions Section 611.531(a) </w:t>
      </w:r>
      <w:r w:rsidR="00654306">
        <w:t xml:space="preserve">specifies </w:t>
      </w:r>
      <w:r>
        <w:t xml:space="preserve">and the supplier </w:t>
      </w:r>
      <w:r w:rsidR="00654306">
        <w:t>provides</w:t>
      </w:r>
      <w:r>
        <w:t xml:space="preserve"> adequate disinfection in </w:t>
      </w:r>
      <w:r w:rsidR="00654306">
        <w:t>its</w:t>
      </w:r>
      <w:r>
        <w:t xml:space="preserve"> distribution system. </w:t>
      </w:r>
    </w:p>
    <w:p w14:paraId="7DACADB6" w14:textId="77777777" w:rsidR="00624BE2" w:rsidRDefault="00624BE2" w:rsidP="00624BE2">
      <w:pPr>
        <w:widowControl w:val="0"/>
        <w:autoSpaceDE w:val="0"/>
        <w:autoSpaceDN w:val="0"/>
        <w:adjustRightInd w:val="0"/>
        <w:ind w:firstLine="15"/>
      </w:pPr>
    </w:p>
    <w:p w14:paraId="6491247D" w14:textId="7969B5EA" w:rsidR="00624BE2" w:rsidRDefault="00624BE2" w:rsidP="00624BE2">
      <w:pPr>
        <w:widowControl w:val="0"/>
        <w:autoSpaceDE w:val="0"/>
        <w:autoSpaceDN w:val="0"/>
        <w:adjustRightInd w:val="0"/>
        <w:ind w:firstLine="15"/>
      </w:pPr>
      <w:r>
        <w:t xml:space="preserve">BOARD NOTE:  </w:t>
      </w:r>
      <w:r w:rsidR="00654306">
        <w:t>This Section derives</w:t>
      </w:r>
      <w:r>
        <w:t xml:space="preserve"> from 40 CFR 141.74(c).</w:t>
      </w:r>
    </w:p>
    <w:p w14:paraId="2F31B58A" w14:textId="77777777" w:rsidR="00624BE2" w:rsidRDefault="00624BE2" w:rsidP="00624BE2">
      <w:pPr>
        <w:widowControl w:val="0"/>
        <w:autoSpaceDE w:val="0"/>
        <w:autoSpaceDN w:val="0"/>
        <w:adjustRightInd w:val="0"/>
        <w:ind w:firstLine="15"/>
      </w:pPr>
    </w:p>
    <w:p w14:paraId="210E38B7" w14:textId="1BFF4BE4" w:rsidR="007F2A33" w:rsidRDefault="00BE1D74" w:rsidP="007F2A33">
      <w:pPr>
        <w:pStyle w:val="JCARSourceNote"/>
        <w:ind w:left="720"/>
      </w:pPr>
      <w:r w:rsidRPr="004E27CF">
        <w:t xml:space="preserve">(Source:  Amended at </w:t>
      </w:r>
      <w:r w:rsidR="00745CE2">
        <w:t>50</w:t>
      </w:r>
      <w:r w:rsidRPr="004E27CF">
        <w:t xml:space="preserve"> Ill. Reg. </w:t>
      </w:r>
      <w:r w:rsidR="00B8020C">
        <w:t>2531</w:t>
      </w:r>
      <w:r w:rsidRPr="004E27CF">
        <w:t xml:space="preserve">, effective </w:t>
      </w:r>
      <w:r w:rsidR="00B8020C">
        <w:t>February 17, 2026</w:t>
      </w:r>
      <w:r w:rsidRPr="004E27CF">
        <w:t>)</w:t>
      </w:r>
    </w:p>
    <w:sectPr w:rsidR="007F2A3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BA8D3" w14:textId="77777777" w:rsidR="00AF41BA" w:rsidRDefault="00AF41BA">
      <w:r>
        <w:separator/>
      </w:r>
    </w:p>
  </w:endnote>
  <w:endnote w:type="continuationSeparator" w:id="0">
    <w:p w14:paraId="35D76C85" w14:textId="77777777" w:rsidR="00AF41BA" w:rsidRDefault="00AF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28631" w14:textId="77777777" w:rsidR="00AF41BA" w:rsidRDefault="00AF41BA">
      <w:r>
        <w:separator/>
      </w:r>
    </w:p>
  </w:footnote>
  <w:footnote w:type="continuationSeparator" w:id="0">
    <w:p w14:paraId="2A023477" w14:textId="77777777" w:rsidR="00AF41BA" w:rsidRDefault="00AF4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B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0EEE"/>
    <w:rsid w:val="00066013"/>
    <w:rsid w:val="000676A6"/>
    <w:rsid w:val="00074368"/>
    <w:rsid w:val="00074DB5"/>
    <w:rsid w:val="000765E0"/>
    <w:rsid w:val="00083E97"/>
    <w:rsid w:val="000848BB"/>
    <w:rsid w:val="0008539F"/>
    <w:rsid w:val="00085CDF"/>
    <w:rsid w:val="0008689B"/>
    <w:rsid w:val="00093935"/>
    <w:rsid w:val="000943C4"/>
    <w:rsid w:val="00097B01"/>
    <w:rsid w:val="000A2FA5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46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033E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00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3C71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4B7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6B68"/>
    <w:rsid w:val="004F077B"/>
    <w:rsid w:val="005001C5"/>
    <w:rsid w:val="005039E7"/>
    <w:rsid w:val="00504D7D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940"/>
    <w:rsid w:val="005948A7"/>
    <w:rsid w:val="005A2494"/>
    <w:rsid w:val="005A3F43"/>
    <w:rsid w:val="005A73F7"/>
    <w:rsid w:val="005B2917"/>
    <w:rsid w:val="005B59EA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4BE2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4306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A6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CE2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225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A33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204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9BA"/>
    <w:rsid w:val="00935A8C"/>
    <w:rsid w:val="00943D68"/>
    <w:rsid w:val="00944E3D"/>
    <w:rsid w:val="00947AC3"/>
    <w:rsid w:val="00950386"/>
    <w:rsid w:val="00951DA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5804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6E52"/>
    <w:rsid w:val="00AE776A"/>
    <w:rsid w:val="00AE7AB3"/>
    <w:rsid w:val="00AF2883"/>
    <w:rsid w:val="00AF3304"/>
    <w:rsid w:val="00AF41BA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20C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1D74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402D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F0C"/>
    <w:rsid w:val="00DE7903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284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5B5"/>
    <w:rsid w:val="00FB1274"/>
    <w:rsid w:val="00FB6CE4"/>
    <w:rsid w:val="00FC18E5"/>
    <w:rsid w:val="00FC2BF7"/>
    <w:rsid w:val="00FC3252"/>
    <w:rsid w:val="00FC34CE"/>
    <w:rsid w:val="00FC6612"/>
    <w:rsid w:val="00FC7006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918EC"/>
  <w15:chartTrackingRefBased/>
  <w15:docId w15:val="{BC4A9435-CA55-4E04-954D-538A6CB8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B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2026-02-25T13:49:00Z</dcterms:created>
  <dcterms:modified xsi:type="dcterms:W3CDTF">2026-02-27T13:48:00Z</dcterms:modified>
</cp:coreProperties>
</file>