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53" w:rsidRDefault="00366853" w:rsidP="003668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CC7" w:rsidRDefault="00366853" w:rsidP="00366853">
      <w:pPr>
        <w:widowControl w:val="0"/>
        <w:autoSpaceDE w:val="0"/>
        <w:autoSpaceDN w:val="0"/>
        <w:adjustRightInd w:val="0"/>
        <w:jc w:val="center"/>
      </w:pPr>
      <w:r>
        <w:t>SUBPART L:  MICROBIOLOGICAL MONITORING</w:t>
      </w:r>
    </w:p>
    <w:p w:rsidR="00366853" w:rsidRDefault="00366853" w:rsidP="00366853">
      <w:pPr>
        <w:widowControl w:val="0"/>
        <w:autoSpaceDE w:val="0"/>
        <w:autoSpaceDN w:val="0"/>
        <w:adjustRightInd w:val="0"/>
        <w:jc w:val="center"/>
      </w:pPr>
      <w:r>
        <w:t>AND ANALYTICAL REQUIREMENTS</w:t>
      </w:r>
    </w:p>
    <w:sectPr w:rsidR="00366853" w:rsidSect="003668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853"/>
    <w:rsid w:val="00366853"/>
    <w:rsid w:val="005C3366"/>
    <w:rsid w:val="00745719"/>
    <w:rsid w:val="00806CC7"/>
    <w:rsid w:val="009B5789"/>
    <w:rsid w:val="00B8603E"/>
    <w:rsid w:val="00CE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MICROBIOLOGICAL MONITORING AND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MICROBIOLOGICAL MONITORING AND 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