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CC" w:rsidRDefault="009D3BCC" w:rsidP="00F84823">
      <w:pPr>
        <w:rPr>
          <w:b/>
        </w:rPr>
      </w:pPr>
    </w:p>
    <w:p w:rsidR="00F84823" w:rsidRPr="00F84823" w:rsidRDefault="00F84823" w:rsidP="00F84823">
      <w:pPr>
        <w:rPr>
          <w:b/>
        </w:rPr>
      </w:pPr>
      <w:r w:rsidRPr="00F84823">
        <w:rPr>
          <w:b/>
        </w:rPr>
        <w:t xml:space="preserve">Section 604.730  Continuous Chlorine Analyzers </w:t>
      </w:r>
    </w:p>
    <w:p w:rsidR="00F84823" w:rsidRPr="00F84823" w:rsidRDefault="00F84823" w:rsidP="00F84823"/>
    <w:p w:rsidR="00F84823" w:rsidRPr="00F84823" w:rsidRDefault="00F84823" w:rsidP="00F84823">
      <w:r w:rsidRPr="00F84823">
        <w:t>Community water supplies that rely on chlorination for disinfection under Section 604.700(a) must have continuous chlorine residual analyzers with alarm capability that alerts the community water supply if chlorine residuals at the entry point to the distribution system are below the limits established in Section 604.725.</w:t>
      </w:r>
      <w:bookmarkStart w:id="0" w:name="_GoBack"/>
      <w:bookmarkEnd w:id="0"/>
    </w:p>
    <w:sectPr w:rsidR="00F84823" w:rsidRPr="00F848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823" w:rsidRDefault="00F84823">
      <w:r>
        <w:separator/>
      </w:r>
    </w:p>
  </w:endnote>
  <w:endnote w:type="continuationSeparator" w:id="0">
    <w:p w:rsidR="00F84823" w:rsidRDefault="00F8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823" w:rsidRDefault="00F84823">
      <w:r>
        <w:separator/>
      </w:r>
    </w:p>
  </w:footnote>
  <w:footnote w:type="continuationSeparator" w:id="0">
    <w:p w:rsidR="00F84823" w:rsidRDefault="00F84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BC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82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40F9B-6752-4C49-8CDE-CDC70162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40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323</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2018-07-31T17:01:00Z</dcterms:created>
  <dcterms:modified xsi:type="dcterms:W3CDTF">2018-07-31T20:22:00Z</dcterms:modified>
</cp:coreProperties>
</file>