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19E" w:rsidRDefault="00A2119E" w:rsidP="00A43378">
      <w:pPr>
        <w:rPr>
          <w:b/>
        </w:rPr>
      </w:pPr>
    </w:p>
    <w:p w:rsidR="00A43378" w:rsidRPr="00A43378" w:rsidRDefault="00A43378" w:rsidP="00A43378">
      <w:r w:rsidRPr="00A43378">
        <w:rPr>
          <w:b/>
        </w:rPr>
        <w:t>Section 604.410  Spray Aeration</w:t>
      </w:r>
      <w:r w:rsidRPr="00A43378">
        <w:t xml:space="preserve"> </w:t>
      </w:r>
    </w:p>
    <w:p w:rsidR="00A43378" w:rsidRPr="00A43378" w:rsidRDefault="00A43378" w:rsidP="00A43378"/>
    <w:p w:rsidR="00A43378" w:rsidRPr="00A43378" w:rsidRDefault="00A43378" w:rsidP="00A43378">
      <w:r w:rsidRPr="00A43378">
        <w:t>Spray aeration design must provide:</w:t>
      </w:r>
    </w:p>
    <w:p w:rsidR="00A43378" w:rsidRPr="00A43378" w:rsidRDefault="00A43378" w:rsidP="00A43378"/>
    <w:p w:rsidR="00A43378" w:rsidRPr="00A43378" w:rsidRDefault="00A43378" w:rsidP="00A43378">
      <w:pPr>
        <w:ind w:left="720"/>
      </w:pPr>
      <w:r w:rsidRPr="00A43378">
        <w:t>a)</w:t>
      </w:r>
      <w:r w:rsidR="00821581">
        <w:tab/>
        <w:t>a hydraulic head of between 5 and</w:t>
      </w:r>
      <w:r w:rsidRPr="00A43378">
        <w:t xml:space="preserve"> 25 feet;</w:t>
      </w:r>
    </w:p>
    <w:p w:rsidR="00A43378" w:rsidRPr="00A43378" w:rsidRDefault="00A43378" w:rsidP="00A43378"/>
    <w:p w:rsidR="00A43378" w:rsidRPr="00A43378" w:rsidRDefault="00A43378" w:rsidP="00A43378">
      <w:pPr>
        <w:ind w:left="1440" w:hanging="720"/>
      </w:pPr>
      <w:r w:rsidRPr="00A43378">
        <w:t>b)</w:t>
      </w:r>
      <w:r w:rsidRPr="00A43378">
        <w:tab/>
        <w:t xml:space="preserve">nozzles, with the size, number, and spacing of the nozzles being dependent on the flow rate, </w:t>
      </w:r>
      <w:r w:rsidR="00821581">
        <w:t xml:space="preserve">the </w:t>
      </w:r>
      <w:r w:rsidRPr="00A43378">
        <w:t xml:space="preserve">space, and </w:t>
      </w:r>
      <w:bookmarkStart w:id="0" w:name="_GoBack"/>
      <w:bookmarkEnd w:id="0"/>
      <w:r w:rsidRPr="00A43378">
        <w:t>amount of head available;</w:t>
      </w:r>
    </w:p>
    <w:p w:rsidR="00A43378" w:rsidRPr="00A43378" w:rsidRDefault="00A43378" w:rsidP="00A43378"/>
    <w:p w:rsidR="00A43378" w:rsidRPr="00A43378" w:rsidRDefault="00A43378" w:rsidP="00A43378">
      <w:pPr>
        <w:ind w:left="1440" w:hanging="720"/>
      </w:pPr>
      <w:r w:rsidRPr="00A43378">
        <w:t>c)</w:t>
      </w:r>
      <w:r w:rsidRPr="00A43378">
        <w:tab/>
        <w:t>nozzle diameters in the range of 1 to 1.5 inches to minimize clogging; and</w:t>
      </w:r>
    </w:p>
    <w:p w:rsidR="00A43378" w:rsidRPr="00A43378" w:rsidRDefault="00A43378" w:rsidP="00A43378"/>
    <w:p w:rsidR="00A43378" w:rsidRPr="00A43378" w:rsidRDefault="00A43378" w:rsidP="00A43378">
      <w:pPr>
        <w:ind w:left="1440" w:hanging="720"/>
      </w:pPr>
      <w:r w:rsidRPr="00A43378">
        <w:t>d)</w:t>
      </w:r>
      <w:r w:rsidRPr="00A43378">
        <w:tab/>
        <w:t>an enclosed basin to contain the spray, with any openings protected by a 24-mesh screen.</w:t>
      </w:r>
    </w:p>
    <w:sectPr w:rsidR="00A43378" w:rsidRPr="00A4337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378" w:rsidRDefault="00A43378">
      <w:r>
        <w:separator/>
      </w:r>
    </w:p>
  </w:endnote>
  <w:endnote w:type="continuationSeparator" w:id="0">
    <w:p w:rsidR="00A43378" w:rsidRDefault="00A4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378" w:rsidRDefault="00A43378">
      <w:r>
        <w:separator/>
      </w:r>
    </w:p>
  </w:footnote>
  <w:footnote w:type="continuationSeparator" w:id="0">
    <w:p w:rsidR="00A43378" w:rsidRDefault="00A43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7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1581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19E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3378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C70C1-607B-447C-ACD9-893FD1AE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354</Characters>
  <Application>Microsoft Office Word</Application>
  <DocSecurity>0</DocSecurity>
  <Lines>2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2018-07-31T17:01:00Z</dcterms:created>
  <dcterms:modified xsi:type="dcterms:W3CDTF">2018-08-02T14:30:00Z</dcterms:modified>
</cp:coreProperties>
</file>