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D3" w:rsidRDefault="00584AD3" w:rsidP="00584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AD3" w:rsidRDefault="00584AD3" w:rsidP="00584AD3">
      <w:pPr>
        <w:widowControl w:val="0"/>
        <w:autoSpaceDE w:val="0"/>
        <w:autoSpaceDN w:val="0"/>
        <w:adjustRightInd w:val="0"/>
      </w:pPr>
      <w:r>
        <w:t xml:space="preserve">SOURCE:  Filed April 5, 1976, effective April 15, 1976; codified at 6 Ill. Reg. 10558. </w:t>
      </w:r>
      <w:r>
        <w:tab/>
      </w:r>
    </w:p>
    <w:sectPr w:rsidR="00584AD3" w:rsidSect="00584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AD3"/>
    <w:rsid w:val="00584AD3"/>
    <w:rsid w:val="005C3366"/>
    <w:rsid w:val="00B8172A"/>
    <w:rsid w:val="00D44424"/>
    <w:rsid w:val="00F7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5, 1976, effective April 15, 1976; codified at 6 Ill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5, 1976, effective April 15, 1976;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