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27" w:rsidRDefault="00AA0F27" w:rsidP="00AA0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F27" w:rsidRDefault="00842FD0" w:rsidP="00842FD0">
      <w:pPr>
        <w:widowControl w:val="0"/>
        <w:autoSpaceDE w:val="0"/>
        <w:autoSpaceDN w:val="0"/>
        <w:adjustRightInd w:val="0"/>
        <w:jc w:val="center"/>
      </w:pPr>
      <w:r>
        <w:t>SUBPART C:  STANDARDS FOR THE DESIGN AND CONSTRUCTION OF LIVESTOCK WASTE HANDLING FACILITIES OTHER THAN LAGOONS</w:t>
      </w:r>
    </w:p>
    <w:sectPr w:rsidR="00AA0F27" w:rsidSect="00AA0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F27"/>
    <w:rsid w:val="003B16DE"/>
    <w:rsid w:val="005C3366"/>
    <w:rsid w:val="006D02E5"/>
    <w:rsid w:val="00842FD0"/>
    <w:rsid w:val="008A451D"/>
    <w:rsid w:val="00A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STANDARDS FOR THE DESIGN AND CONSTRUCTION OF LIVESTOCK WASTE HANDLING FACILITIES OTHER THAN LAGOONS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STANDARDS FOR THE DESIGN AND CONSTRUCTION OF LIVESTOCK WASTE HANDLING FACILITIES OTHER THAN LAGOONS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