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D6" w:rsidRDefault="004127D6" w:rsidP="00412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27D6" w:rsidRDefault="004127D6" w:rsidP="004127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501.356  Populated Area</w:t>
      </w:r>
      <w:r>
        <w:t xml:space="preserve"> </w:t>
      </w:r>
    </w:p>
    <w:p w:rsidR="004127D6" w:rsidRDefault="004127D6" w:rsidP="004127D6">
      <w:pPr>
        <w:widowControl w:val="0"/>
        <w:autoSpaceDE w:val="0"/>
        <w:autoSpaceDN w:val="0"/>
        <w:adjustRightInd w:val="0"/>
      </w:pPr>
    </w:p>
    <w:p w:rsidR="004127D6" w:rsidRDefault="004127D6" w:rsidP="004127D6">
      <w:pPr>
        <w:widowControl w:val="0"/>
        <w:autoSpaceDE w:val="0"/>
        <w:autoSpaceDN w:val="0"/>
        <w:adjustRightInd w:val="0"/>
      </w:pPr>
      <w:r>
        <w:t xml:space="preserve">Any area where at least ten (10) inhabited non-farm residences or at least fifty (50) persons frequenting a common place of assembly or a non-farm business at least once per week. </w:t>
      </w:r>
    </w:p>
    <w:p w:rsidR="004127D6" w:rsidRDefault="004127D6" w:rsidP="004127D6">
      <w:pPr>
        <w:widowControl w:val="0"/>
        <w:autoSpaceDE w:val="0"/>
        <w:autoSpaceDN w:val="0"/>
        <w:adjustRightInd w:val="0"/>
      </w:pPr>
    </w:p>
    <w:p w:rsidR="004127D6" w:rsidRDefault="004127D6" w:rsidP="004127D6">
      <w:pPr>
        <w:widowControl w:val="0"/>
        <w:autoSpaceDE w:val="0"/>
        <w:autoSpaceDN w:val="0"/>
        <w:adjustRightInd w:val="0"/>
        <w:ind w:left="1440" w:hanging="720"/>
      </w:pPr>
      <w:r>
        <w:t>(Source:  Added at 15 Il</w:t>
      </w:r>
      <w:r w:rsidR="00630CFF">
        <w:t>l. Reg. 10075, effective July 1</w:t>
      </w:r>
      <w:r>
        <w:t xml:space="preserve">, 1991) </w:t>
      </w:r>
    </w:p>
    <w:sectPr w:rsidR="004127D6" w:rsidSect="00412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7D6"/>
    <w:rsid w:val="00154F11"/>
    <w:rsid w:val="004127D6"/>
    <w:rsid w:val="005C3366"/>
    <w:rsid w:val="005D5750"/>
    <w:rsid w:val="00630CFF"/>
    <w:rsid w:val="00C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