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37" w:rsidRDefault="00172C37" w:rsidP="00172C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2C37" w:rsidRDefault="00172C37" w:rsidP="00172C37">
      <w:pPr>
        <w:widowControl w:val="0"/>
        <w:autoSpaceDE w:val="0"/>
        <w:autoSpaceDN w:val="0"/>
        <w:adjustRightInd w:val="0"/>
      </w:pPr>
      <w:r>
        <w:t>SOURCE:  Filed December 22, 1975, effective January 1, 1976;</w:t>
      </w:r>
      <w:r w:rsidR="00F2339C">
        <w:t xml:space="preserve"> codified at 7 Ill. Reg. 8840. </w:t>
      </w:r>
    </w:p>
    <w:sectPr w:rsidR="00172C37" w:rsidSect="00172C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C37"/>
    <w:rsid w:val="00172C37"/>
    <w:rsid w:val="00502AA3"/>
    <w:rsid w:val="005C3366"/>
    <w:rsid w:val="00A112E9"/>
    <w:rsid w:val="00DD70AE"/>
    <w:rsid w:val="00F2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22, 1975, effective January 1, 1976; codified at 7 Ill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22, 1975, effective January 1, 1976; codified at 7 Ill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