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40C5" w14:textId="77777777" w:rsidR="00247601" w:rsidRDefault="00380DD5" w:rsidP="00247601">
      <w:pPr>
        <w:widowControl w:val="0"/>
        <w:autoSpaceDE w:val="0"/>
        <w:autoSpaceDN w:val="0"/>
        <w:adjustRightInd w:val="0"/>
      </w:pPr>
      <w:r>
        <w:rPr>
          <w:b/>
          <w:bCs/>
        </w:rPr>
        <w:br w:type="page"/>
      </w:r>
      <w:r w:rsidR="00247601">
        <w:rPr>
          <w:b/>
          <w:bCs/>
        </w:rPr>
        <w:lastRenderedPageBreak/>
        <w:t xml:space="preserve">Section 391.APPENDIX E </w:t>
      </w:r>
      <w:r w:rsidR="00523AFC">
        <w:rPr>
          <w:b/>
          <w:bCs/>
        </w:rPr>
        <w:t xml:space="preserve"> </w:t>
      </w:r>
      <w:r w:rsidR="00247601">
        <w:rPr>
          <w:b/>
          <w:bCs/>
        </w:rPr>
        <w:t xml:space="preserve"> Sample Calculations of Water Treatment Plant Lime Sludge Application Rates</w:t>
      </w:r>
      <w:r w:rsidR="00247601">
        <w:t xml:space="preserve"> </w:t>
      </w:r>
    </w:p>
    <w:p w14:paraId="6B048F38" w14:textId="77777777" w:rsidR="00247601" w:rsidRDefault="00247601" w:rsidP="00247601">
      <w:pPr>
        <w:widowControl w:val="0"/>
        <w:autoSpaceDE w:val="0"/>
        <w:autoSpaceDN w:val="0"/>
        <w:adjustRightInd w:val="0"/>
      </w:pPr>
    </w:p>
    <w:p w14:paraId="28F74664" w14:textId="77777777" w:rsidR="00523AFC" w:rsidRDefault="00523AFC" w:rsidP="00247601">
      <w:pPr>
        <w:widowControl w:val="0"/>
        <w:autoSpaceDE w:val="0"/>
        <w:autoSpaceDN w:val="0"/>
        <w:adjustRightInd w:val="0"/>
      </w:pPr>
      <w:r>
        <w:t>I.</w:t>
      </w:r>
      <w:r>
        <w:tab/>
        <w:t>Laboratory analysis of sludge (dwb):</w:t>
      </w:r>
    </w:p>
    <w:p w14:paraId="3154254C" w14:textId="77777777" w:rsidR="00523AFC" w:rsidRDefault="00523AFC" w:rsidP="00247601">
      <w:pPr>
        <w:widowControl w:val="0"/>
        <w:autoSpaceDE w:val="0"/>
        <w:autoSpaceDN w:val="0"/>
        <w:adjustRightInd w:val="0"/>
      </w:pPr>
    </w:p>
    <w:tbl>
      <w:tblPr>
        <w:tblW w:w="0" w:type="auto"/>
        <w:tblInd w:w="735" w:type="dxa"/>
        <w:tblLook w:val="0000" w:firstRow="0" w:lastRow="0" w:firstColumn="0" w:lastColumn="0" w:noHBand="0" w:noVBand="0"/>
      </w:tblPr>
      <w:tblGrid>
        <w:gridCol w:w="5649"/>
        <w:gridCol w:w="3192"/>
      </w:tblGrid>
      <w:tr w:rsidR="00523AFC" w14:paraId="06B414E7" w14:textId="77777777">
        <w:tc>
          <w:tcPr>
            <w:tcW w:w="5649" w:type="dxa"/>
          </w:tcPr>
          <w:p w14:paraId="0427AC94" w14:textId="77777777" w:rsidR="00523AFC" w:rsidRDefault="00523AFC" w:rsidP="00247601">
            <w:pPr>
              <w:widowControl w:val="0"/>
              <w:autoSpaceDE w:val="0"/>
              <w:autoSpaceDN w:val="0"/>
              <w:adjustRightInd w:val="0"/>
            </w:pPr>
            <w:r>
              <w:t>% Calcium Carbonate Equivalent</w:t>
            </w:r>
          </w:p>
        </w:tc>
        <w:tc>
          <w:tcPr>
            <w:tcW w:w="3192" w:type="dxa"/>
          </w:tcPr>
          <w:p w14:paraId="011466B0" w14:textId="77777777" w:rsidR="00523AFC" w:rsidRDefault="00523AFC" w:rsidP="00247601">
            <w:pPr>
              <w:widowControl w:val="0"/>
              <w:autoSpaceDE w:val="0"/>
              <w:autoSpaceDN w:val="0"/>
              <w:adjustRightInd w:val="0"/>
            </w:pPr>
            <w:r>
              <w:t>94.34</w:t>
            </w:r>
          </w:p>
        </w:tc>
      </w:tr>
      <w:tr w:rsidR="00523AFC" w14:paraId="0F1B9CEC" w14:textId="77777777">
        <w:tc>
          <w:tcPr>
            <w:tcW w:w="5649" w:type="dxa"/>
          </w:tcPr>
          <w:p w14:paraId="4592A6C7" w14:textId="77777777" w:rsidR="00523AFC" w:rsidRDefault="00523AFC" w:rsidP="00247601">
            <w:pPr>
              <w:widowControl w:val="0"/>
              <w:autoSpaceDE w:val="0"/>
              <w:autoSpaceDN w:val="0"/>
              <w:adjustRightInd w:val="0"/>
            </w:pPr>
            <w:r>
              <w:t>% Total Solids</w:t>
            </w:r>
          </w:p>
        </w:tc>
        <w:tc>
          <w:tcPr>
            <w:tcW w:w="3192" w:type="dxa"/>
          </w:tcPr>
          <w:p w14:paraId="261502DD" w14:textId="77777777" w:rsidR="00523AFC" w:rsidRDefault="00523AFC" w:rsidP="00247601">
            <w:pPr>
              <w:widowControl w:val="0"/>
              <w:autoSpaceDE w:val="0"/>
              <w:autoSpaceDN w:val="0"/>
              <w:adjustRightInd w:val="0"/>
            </w:pPr>
            <w:r>
              <w:t>24</w:t>
            </w:r>
          </w:p>
        </w:tc>
      </w:tr>
      <w:tr w:rsidR="00523AFC" w14:paraId="6FE40CD7" w14:textId="77777777">
        <w:tc>
          <w:tcPr>
            <w:tcW w:w="5649" w:type="dxa"/>
          </w:tcPr>
          <w:p w14:paraId="315FCBE6" w14:textId="77777777" w:rsidR="00523AFC" w:rsidRDefault="00523AFC" w:rsidP="00247601">
            <w:pPr>
              <w:widowControl w:val="0"/>
              <w:autoSpaceDE w:val="0"/>
              <w:autoSpaceDN w:val="0"/>
              <w:adjustRightInd w:val="0"/>
            </w:pPr>
            <w:r>
              <w:t>pH</w:t>
            </w:r>
          </w:p>
        </w:tc>
        <w:tc>
          <w:tcPr>
            <w:tcW w:w="3192" w:type="dxa"/>
          </w:tcPr>
          <w:p w14:paraId="431DF8F1" w14:textId="77777777" w:rsidR="00523AFC" w:rsidRDefault="00523AFC" w:rsidP="00247601">
            <w:pPr>
              <w:widowControl w:val="0"/>
              <w:autoSpaceDE w:val="0"/>
              <w:autoSpaceDN w:val="0"/>
              <w:adjustRightInd w:val="0"/>
            </w:pPr>
            <w:r>
              <w:t>10.4</w:t>
            </w:r>
          </w:p>
        </w:tc>
      </w:tr>
      <w:tr w:rsidR="00523AFC" w14:paraId="20F101A9" w14:textId="77777777">
        <w:tc>
          <w:tcPr>
            <w:tcW w:w="5649" w:type="dxa"/>
          </w:tcPr>
          <w:p w14:paraId="1ACD8566" w14:textId="77777777" w:rsidR="00523AFC" w:rsidRDefault="00523AFC" w:rsidP="00247601">
            <w:pPr>
              <w:widowControl w:val="0"/>
              <w:autoSpaceDE w:val="0"/>
              <w:autoSpaceDN w:val="0"/>
              <w:adjustRightInd w:val="0"/>
            </w:pPr>
            <w:r>
              <w:t>Arsenic</w:t>
            </w:r>
          </w:p>
        </w:tc>
        <w:tc>
          <w:tcPr>
            <w:tcW w:w="3192" w:type="dxa"/>
          </w:tcPr>
          <w:p w14:paraId="5983661B" w14:textId="77777777" w:rsidR="00523AFC" w:rsidRDefault="00523AFC" w:rsidP="00247601">
            <w:pPr>
              <w:widowControl w:val="0"/>
              <w:autoSpaceDE w:val="0"/>
              <w:autoSpaceDN w:val="0"/>
              <w:adjustRightInd w:val="0"/>
            </w:pPr>
            <w:r>
              <w:t>0.83 mg/kg</w:t>
            </w:r>
          </w:p>
        </w:tc>
      </w:tr>
      <w:tr w:rsidR="00523AFC" w14:paraId="3BCC43C3" w14:textId="77777777">
        <w:tc>
          <w:tcPr>
            <w:tcW w:w="5649" w:type="dxa"/>
          </w:tcPr>
          <w:p w14:paraId="58D980CB" w14:textId="77777777" w:rsidR="00523AFC" w:rsidRDefault="00523AFC" w:rsidP="00247601">
            <w:pPr>
              <w:widowControl w:val="0"/>
              <w:autoSpaceDE w:val="0"/>
              <w:autoSpaceDN w:val="0"/>
              <w:adjustRightInd w:val="0"/>
            </w:pPr>
            <w:r>
              <w:t>Barium</w:t>
            </w:r>
          </w:p>
        </w:tc>
        <w:tc>
          <w:tcPr>
            <w:tcW w:w="3192" w:type="dxa"/>
          </w:tcPr>
          <w:p w14:paraId="2B2EC1C4" w14:textId="77777777" w:rsidR="00523AFC" w:rsidRDefault="00523AFC" w:rsidP="00247601">
            <w:pPr>
              <w:widowControl w:val="0"/>
              <w:autoSpaceDE w:val="0"/>
              <w:autoSpaceDN w:val="0"/>
              <w:adjustRightInd w:val="0"/>
            </w:pPr>
            <w:r>
              <w:t>8.3 mg/kg</w:t>
            </w:r>
          </w:p>
        </w:tc>
      </w:tr>
      <w:tr w:rsidR="00523AFC" w14:paraId="6EB81056" w14:textId="77777777">
        <w:tc>
          <w:tcPr>
            <w:tcW w:w="5649" w:type="dxa"/>
          </w:tcPr>
          <w:p w14:paraId="2650553A" w14:textId="77777777" w:rsidR="00523AFC" w:rsidRDefault="00523AFC" w:rsidP="00247601">
            <w:pPr>
              <w:widowControl w:val="0"/>
              <w:autoSpaceDE w:val="0"/>
              <w:autoSpaceDN w:val="0"/>
              <w:adjustRightInd w:val="0"/>
            </w:pPr>
            <w:r>
              <w:t>Cadmium</w:t>
            </w:r>
          </w:p>
        </w:tc>
        <w:tc>
          <w:tcPr>
            <w:tcW w:w="3192" w:type="dxa"/>
          </w:tcPr>
          <w:p w14:paraId="72E24D30" w14:textId="77777777" w:rsidR="00523AFC" w:rsidRDefault="00523AFC" w:rsidP="00247601">
            <w:pPr>
              <w:widowControl w:val="0"/>
              <w:autoSpaceDE w:val="0"/>
              <w:autoSpaceDN w:val="0"/>
              <w:adjustRightInd w:val="0"/>
            </w:pPr>
            <w:r>
              <w:t>0</w:t>
            </w:r>
            <w:r w:rsidR="00803457">
              <w:t>.</w:t>
            </w:r>
            <w:r>
              <w:t>6 mg/kg</w:t>
            </w:r>
          </w:p>
        </w:tc>
      </w:tr>
      <w:tr w:rsidR="00523AFC" w14:paraId="30A31981" w14:textId="77777777">
        <w:tc>
          <w:tcPr>
            <w:tcW w:w="5649" w:type="dxa"/>
          </w:tcPr>
          <w:p w14:paraId="2657B4A5" w14:textId="77777777" w:rsidR="00523AFC" w:rsidRDefault="00523AFC" w:rsidP="00247601">
            <w:pPr>
              <w:widowControl w:val="0"/>
              <w:autoSpaceDE w:val="0"/>
              <w:autoSpaceDN w:val="0"/>
              <w:adjustRightInd w:val="0"/>
            </w:pPr>
            <w:r>
              <w:t>Chromium (hexavalent)</w:t>
            </w:r>
          </w:p>
        </w:tc>
        <w:tc>
          <w:tcPr>
            <w:tcW w:w="3192" w:type="dxa"/>
          </w:tcPr>
          <w:p w14:paraId="0DB9EC18" w14:textId="77777777" w:rsidR="00523AFC" w:rsidRDefault="00523AFC" w:rsidP="00247601">
            <w:pPr>
              <w:widowControl w:val="0"/>
              <w:autoSpaceDE w:val="0"/>
              <w:autoSpaceDN w:val="0"/>
              <w:adjustRightInd w:val="0"/>
            </w:pPr>
            <w:r>
              <w:t>0.008 mg/kg</w:t>
            </w:r>
          </w:p>
        </w:tc>
      </w:tr>
      <w:tr w:rsidR="00523AFC" w14:paraId="3AD5D36B" w14:textId="77777777">
        <w:tc>
          <w:tcPr>
            <w:tcW w:w="5649" w:type="dxa"/>
          </w:tcPr>
          <w:p w14:paraId="7C1639F5" w14:textId="77777777" w:rsidR="00523AFC" w:rsidRDefault="00523AFC" w:rsidP="00247601">
            <w:pPr>
              <w:widowControl w:val="0"/>
              <w:autoSpaceDE w:val="0"/>
              <w:autoSpaceDN w:val="0"/>
              <w:adjustRightInd w:val="0"/>
            </w:pPr>
            <w:r>
              <w:t>Chromium (total)</w:t>
            </w:r>
          </w:p>
        </w:tc>
        <w:tc>
          <w:tcPr>
            <w:tcW w:w="3192" w:type="dxa"/>
          </w:tcPr>
          <w:p w14:paraId="7BBA72DF" w14:textId="77777777" w:rsidR="00523AFC" w:rsidRDefault="00523AFC" w:rsidP="00247601">
            <w:pPr>
              <w:widowControl w:val="0"/>
              <w:autoSpaceDE w:val="0"/>
              <w:autoSpaceDN w:val="0"/>
              <w:adjustRightInd w:val="0"/>
            </w:pPr>
            <w:r>
              <w:t>1.2 mg/kg</w:t>
            </w:r>
          </w:p>
        </w:tc>
      </w:tr>
      <w:tr w:rsidR="00523AFC" w14:paraId="7A6142B2" w14:textId="77777777">
        <w:tc>
          <w:tcPr>
            <w:tcW w:w="5649" w:type="dxa"/>
          </w:tcPr>
          <w:p w14:paraId="381C73D5" w14:textId="77777777" w:rsidR="00523AFC" w:rsidRDefault="00523AFC" w:rsidP="00247601">
            <w:pPr>
              <w:widowControl w:val="0"/>
              <w:autoSpaceDE w:val="0"/>
              <w:autoSpaceDN w:val="0"/>
              <w:adjustRightInd w:val="0"/>
            </w:pPr>
            <w:r>
              <w:t>Copper</w:t>
            </w:r>
          </w:p>
        </w:tc>
        <w:tc>
          <w:tcPr>
            <w:tcW w:w="3192" w:type="dxa"/>
          </w:tcPr>
          <w:p w14:paraId="3694828E" w14:textId="77777777" w:rsidR="00523AFC" w:rsidRDefault="00523AFC" w:rsidP="00247601">
            <w:pPr>
              <w:widowControl w:val="0"/>
              <w:autoSpaceDE w:val="0"/>
              <w:autoSpaceDN w:val="0"/>
              <w:adjustRightInd w:val="0"/>
            </w:pPr>
            <w:r>
              <w:t>3.3 mg/kg</w:t>
            </w:r>
          </w:p>
        </w:tc>
      </w:tr>
      <w:tr w:rsidR="00523AFC" w14:paraId="7FF8C9D0" w14:textId="77777777">
        <w:tc>
          <w:tcPr>
            <w:tcW w:w="5649" w:type="dxa"/>
          </w:tcPr>
          <w:p w14:paraId="0048A0F4" w14:textId="77777777" w:rsidR="00523AFC" w:rsidRDefault="00523AFC" w:rsidP="00247601">
            <w:pPr>
              <w:widowControl w:val="0"/>
              <w:autoSpaceDE w:val="0"/>
              <w:autoSpaceDN w:val="0"/>
              <w:adjustRightInd w:val="0"/>
            </w:pPr>
            <w:r>
              <w:t>Mercury</w:t>
            </w:r>
          </w:p>
        </w:tc>
        <w:tc>
          <w:tcPr>
            <w:tcW w:w="3192" w:type="dxa"/>
          </w:tcPr>
          <w:p w14:paraId="7D534E89" w14:textId="77777777" w:rsidR="00523AFC" w:rsidRDefault="00523AFC" w:rsidP="00247601">
            <w:pPr>
              <w:widowControl w:val="0"/>
              <w:autoSpaceDE w:val="0"/>
              <w:autoSpaceDN w:val="0"/>
              <w:adjustRightInd w:val="0"/>
            </w:pPr>
            <w:r>
              <w:t>0.0</w:t>
            </w:r>
            <w:r w:rsidR="00803457">
              <w:t>0</w:t>
            </w:r>
            <w:r>
              <w:t>08 mg/kg</w:t>
            </w:r>
          </w:p>
        </w:tc>
      </w:tr>
      <w:tr w:rsidR="00523AFC" w14:paraId="21511DCD" w14:textId="77777777">
        <w:tc>
          <w:tcPr>
            <w:tcW w:w="5649" w:type="dxa"/>
          </w:tcPr>
          <w:p w14:paraId="06633C4F" w14:textId="77777777" w:rsidR="00523AFC" w:rsidRDefault="00523AFC" w:rsidP="00247601">
            <w:pPr>
              <w:widowControl w:val="0"/>
              <w:autoSpaceDE w:val="0"/>
              <w:autoSpaceDN w:val="0"/>
              <w:adjustRightInd w:val="0"/>
            </w:pPr>
            <w:r>
              <w:t>Nickel</w:t>
            </w:r>
          </w:p>
        </w:tc>
        <w:tc>
          <w:tcPr>
            <w:tcW w:w="3192" w:type="dxa"/>
          </w:tcPr>
          <w:p w14:paraId="280D4D09" w14:textId="77777777" w:rsidR="00523AFC" w:rsidRDefault="00523AFC" w:rsidP="00247601">
            <w:pPr>
              <w:widowControl w:val="0"/>
              <w:autoSpaceDE w:val="0"/>
              <w:autoSpaceDN w:val="0"/>
              <w:adjustRightInd w:val="0"/>
            </w:pPr>
            <w:r>
              <w:t>8.75 mg/kg</w:t>
            </w:r>
          </w:p>
        </w:tc>
      </w:tr>
      <w:tr w:rsidR="00523AFC" w14:paraId="1C5D216C" w14:textId="77777777">
        <w:tc>
          <w:tcPr>
            <w:tcW w:w="5649" w:type="dxa"/>
          </w:tcPr>
          <w:p w14:paraId="3FF0F88C" w14:textId="77777777" w:rsidR="00523AFC" w:rsidRDefault="00523AFC" w:rsidP="00247601">
            <w:pPr>
              <w:widowControl w:val="0"/>
              <w:autoSpaceDE w:val="0"/>
              <w:autoSpaceDN w:val="0"/>
              <w:adjustRightInd w:val="0"/>
            </w:pPr>
            <w:r>
              <w:t>Selenium</w:t>
            </w:r>
          </w:p>
        </w:tc>
        <w:tc>
          <w:tcPr>
            <w:tcW w:w="3192" w:type="dxa"/>
          </w:tcPr>
          <w:p w14:paraId="1A7BD9BF" w14:textId="77777777" w:rsidR="00523AFC" w:rsidRDefault="00523AFC" w:rsidP="00247601">
            <w:pPr>
              <w:widowControl w:val="0"/>
              <w:autoSpaceDE w:val="0"/>
              <w:autoSpaceDN w:val="0"/>
              <w:adjustRightInd w:val="0"/>
            </w:pPr>
            <w:r>
              <w:t>0.4 mg/kg</w:t>
            </w:r>
          </w:p>
        </w:tc>
      </w:tr>
      <w:tr w:rsidR="00523AFC" w14:paraId="46A7B97B" w14:textId="77777777">
        <w:tc>
          <w:tcPr>
            <w:tcW w:w="5649" w:type="dxa"/>
          </w:tcPr>
          <w:p w14:paraId="3BD7E614" w14:textId="77777777" w:rsidR="00523AFC" w:rsidRDefault="00523AFC" w:rsidP="00247601">
            <w:pPr>
              <w:widowControl w:val="0"/>
              <w:autoSpaceDE w:val="0"/>
              <w:autoSpaceDN w:val="0"/>
              <w:adjustRightInd w:val="0"/>
            </w:pPr>
            <w:r>
              <w:t>Silver</w:t>
            </w:r>
          </w:p>
        </w:tc>
        <w:tc>
          <w:tcPr>
            <w:tcW w:w="3192" w:type="dxa"/>
          </w:tcPr>
          <w:p w14:paraId="64A26FCB" w14:textId="77777777" w:rsidR="00523AFC" w:rsidRDefault="00523AFC" w:rsidP="00247601">
            <w:pPr>
              <w:widowControl w:val="0"/>
              <w:autoSpaceDE w:val="0"/>
              <w:autoSpaceDN w:val="0"/>
              <w:adjustRightInd w:val="0"/>
            </w:pPr>
            <w:r>
              <w:t>0.83 mg/kg</w:t>
            </w:r>
          </w:p>
        </w:tc>
      </w:tr>
      <w:tr w:rsidR="00523AFC" w14:paraId="1A27EF8C" w14:textId="77777777">
        <w:tc>
          <w:tcPr>
            <w:tcW w:w="5649" w:type="dxa"/>
          </w:tcPr>
          <w:p w14:paraId="2B836B64" w14:textId="77777777" w:rsidR="00523AFC" w:rsidRDefault="00523AFC" w:rsidP="00247601">
            <w:pPr>
              <w:widowControl w:val="0"/>
              <w:autoSpaceDE w:val="0"/>
              <w:autoSpaceDN w:val="0"/>
              <w:adjustRightInd w:val="0"/>
            </w:pPr>
            <w:r>
              <w:t>Zinc</w:t>
            </w:r>
          </w:p>
        </w:tc>
        <w:tc>
          <w:tcPr>
            <w:tcW w:w="3192" w:type="dxa"/>
          </w:tcPr>
          <w:p w14:paraId="6BBBAEA5" w14:textId="77777777" w:rsidR="00523AFC" w:rsidRDefault="00523AFC" w:rsidP="00247601">
            <w:pPr>
              <w:widowControl w:val="0"/>
              <w:autoSpaceDE w:val="0"/>
              <w:autoSpaceDN w:val="0"/>
              <w:adjustRightInd w:val="0"/>
            </w:pPr>
            <w:r>
              <w:t>6.6 mg/kg</w:t>
            </w:r>
          </w:p>
        </w:tc>
      </w:tr>
      <w:tr w:rsidR="00523AFC" w14:paraId="0AF4BC98" w14:textId="77777777">
        <w:tc>
          <w:tcPr>
            <w:tcW w:w="5649" w:type="dxa"/>
          </w:tcPr>
          <w:p w14:paraId="091D8E3A" w14:textId="77777777" w:rsidR="00523AFC" w:rsidRDefault="00523AFC" w:rsidP="00247601">
            <w:pPr>
              <w:widowControl w:val="0"/>
              <w:autoSpaceDE w:val="0"/>
              <w:autoSpaceDN w:val="0"/>
              <w:adjustRightInd w:val="0"/>
            </w:pPr>
            <w:r>
              <w:t>Effective Neutralizing Value</w:t>
            </w:r>
          </w:p>
        </w:tc>
        <w:tc>
          <w:tcPr>
            <w:tcW w:w="3192" w:type="dxa"/>
          </w:tcPr>
          <w:p w14:paraId="4DE5FBAB" w14:textId="77777777" w:rsidR="00523AFC" w:rsidRDefault="00523AFC" w:rsidP="00247601">
            <w:pPr>
              <w:widowControl w:val="0"/>
              <w:autoSpaceDE w:val="0"/>
              <w:autoSpaceDN w:val="0"/>
              <w:adjustRightInd w:val="0"/>
            </w:pPr>
          </w:p>
        </w:tc>
      </w:tr>
      <w:tr w:rsidR="00380DD5" w14:paraId="5BD0CD87" w14:textId="77777777">
        <w:tc>
          <w:tcPr>
            <w:tcW w:w="5649" w:type="dxa"/>
          </w:tcPr>
          <w:p w14:paraId="69F3D527" w14:textId="77777777" w:rsidR="00380DD5" w:rsidRDefault="00380DD5" w:rsidP="00380DD5">
            <w:pPr>
              <w:widowControl w:val="0"/>
              <w:autoSpaceDE w:val="0"/>
              <w:autoSpaceDN w:val="0"/>
              <w:adjustRightInd w:val="0"/>
              <w:ind w:left="348"/>
            </w:pPr>
            <w:r>
              <w:t>(ENV) as calculated below</w:t>
            </w:r>
          </w:p>
        </w:tc>
        <w:tc>
          <w:tcPr>
            <w:tcW w:w="3192" w:type="dxa"/>
          </w:tcPr>
          <w:p w14:paraId="4A453360" w14:textId="77777777" w:rsidR="00380DD5" w:rsidRDefault="00380DD5" w:rsidP="00247601">
            <w:pPr>
              <w:widowControl w:val="0"/>
              <w:autoSpaceDE w:val="0"/>
              <w:autoSpaceDN w:val="0"/>
              <w:adjustRightInd w:val="0"/>
            </w:pPr>
            <w:r>
              <w:t>94.34</w:t>
            </w:r>
          </w:p>
        </w:tc>
      </w:tr>
    </w:tbl>
    <w:p w14:paraId="7469A435" w14:textId="77777777" w:rsidR="00523AFC" w:rsidRDefault="00523AFC" w:rsidP="00247601">
      <w:pPr>
        <w:widowControl w:val="0"/>
        <w:autoSpaceDE w:val="0"/>
        <w:autoSpaceDN w:val="0"/>
        <w:adjustRightInd w:val="0"/>
      </w:pPr>
    </w:p>
    <w:tbl>
      <w:tblPr>
        <w:tblW w:w="0" w:type="auto"/>
        <w:tblInd w:w="108" w:type="dxa"/>
        <w:tblLook w:val="0000" w:firstRow="0" w:lastRow="0" w:firstColumn="0" w:lastColumn="0" w:noHBand="0" w:noVBand="0"/>
      </w:tblPr>
      <w:tblGrid>
        <w:gridCol w:w="603"/>
        <w:gridCol w:w="236"/>
        <w:gridCol w:w="2467"/>
        <w:gridCol w:w="312"/>
        <w:gridCol w:w="3114"/>
      </w:tblGrid>
      <w:tr w:rsidR="0021615C" w14:paraId="61FE1137" w14:textId="77777777">
        <w:tc>
          <w:tcPr>
            <w:tcW w:w="603" w:type="dxa"/>
            <w:vMerge w:val="restart"/>
            <w:vAlign w:val="center"/>
          </w:tcPr>
          <w:p w14:paraId="13CD823D" w14:textId="77777777" w:rsidR="00380DD5" w:rsidRDefault="00380DD5" w:rsidP="0021615C">
            <w:pPr>
              <w:widowControl w:val="0"/>
              <w:autoSpaceDE w:val="0"/>
              <w:autoSpaceDN w:val="0"/>
              <w:adjustRightInd w:val="0"/>
              <w:ind w:left="-81" w:right="-109"/>
            </w:pPr>
            <w:r>
              <w:t>ENV</w:t>
            </w:r>
          </w:p>
        </w:tc>
        <w:tc>
          <w:tcPr>
            <w:tcW w:w="236" w:type="dxa"/>
            <w:vMerge w:val="restart"/>
            <w:vAlign w:val="center"/>
          </w:tcPr>
          <w:p w14:paraId="4E0A10BC" w14:textId="77777777" w:rsidR="00380DD5" w:rsidRDefault="00380DD5" w:rsidP="00380DD5">
            <w:pPr>
              <w:widowControl w:val="0"/>
              <w:autoSpaceDE w:val="0"/>
              <w:autoSpaceDN w:val="0"/>
              <w:adjustRightInd w:val="0"/>
              <w:ind w:left="-108" w:right="-108"/>
              <w:jc w:val="center"/>
            </w:pPr>
            <w:r>
              <w:t>=</w:t>
            </w:r>
          </w:p>
        </w:tc>
        <w:tc>
          <w:tcPr>
            <w:tcW w:w="2467" w:type="dxa"/>
            <w:vMerge w:val="restart"/>
            <w:vAlign w:val="center"/>
          </w:tcPr>
          <w:p w14:paraId="7330ED70" w14:textId="77777777" w:rsidR="00380DD5" w:rsidRDefault="00380DD5" w:rsidP="00380DD5">
            <w:pPr>
              <w:widowControl w:val="0"/>
              <w:autoSpaceDE w:val="0"/>
              <w:autoSpaceDN w:val="0"/>
              <w:adjustRightInd w:val="0"/>
              <w:ind w:left="-122" w:right="-96"/>
              <w:jc w:val="center"/>
            </w:pPr>
            <w:r>
              <w:t>Total fineness efficiency</w:t>
            </w:r>
          </w:p>
        </w:tc>
        <w:tc>
          <w:tcPr>
            <w:tcW w:w="312" w:type="dxa"/>
            <w:vMerge w:val="restart"/>
            <w:vAlign w:val="center"/>
          </w:tcPr>
          <w:p w14:paraId="3711C62B" w14:textId="77777777" w:rsidR="00380DD5" w:rsidRDefault="00380DD5" w:rsidP="00380DD5">
            <w:pPr>
              <w:widowControl w:val="0"/>
              <w:autoSpaceDE w:val="0"/>
              <w:autoSpaceDN w:val="0"/>
              <w:adjustRightInd w:val="0"/>
              <w:ind w:left="-102" w:right="-71"/>
              <w:jc w:val="center"/>
            </w:pPr>
            <w:r>
              <w:t>x</w:t>
            </w:r>
          </w:p>
        </w:tc>
        <w:tc>
          <w:tcPr>
            <w:tcW w:w="3114" w:type="dxa"/>
            <w:tcBorders>
              <w:bottom w:val="single" w:sz="4" w:space="0" w:color="auto"/>
            </w:tcBorders>
            <w:vAlign w:val="center"/>
          </w:tcPr>
          <w:p w14:paraId="3FEC296D" w14:textId="77777777" w:rsidR="00380DD5" w:rsidRPr="00380DD5" w:rsidRDefault="00380DD5" w:rsidP="00380DD5">
            <w:pPr>
              <w:widowControl w:val="0"/>
              <w:autoSpaceDE w:val="0"/>
              <w:autoSpaceDN w:val="0"/>
              <w:adjustRightInd w:val="0"/>
              <w:ind w:left="-98" w:right="-99"/>
              <w:jc w:val="center"/>
            </w:pPr>
            <w:r w:rsidRPr="00380DD5">
              <w:t>% calcium carbonate equivalent</w:t>
            </w:r>
          </w:p>
        </w:tc>
      </w:tr>
      <w:tr w:rsidR="0021615C" w14:paraId="668A60F2" w14:textId="77777777">
        <w:tc>
          <w:tcPr>
            <w:tcW w:w="603" w:type="dxa"/>
            <w:vMerge/>
          </w:tcPr>
          <w:p w14:paraId="6AE743EB" w14:textId="77777777" w:rsidR="00380DD5" w:rsidRDefault="00380DD5" w:rsidP="00380DD5">
            <w:pPr>
              <w:widowControl w:val="0"/>
              <w:autoSpaceDE w:val="0"/>
              <w:autoSpaceDN w:val="0"/>
              <w:adjustRightInd w:val="0"/>
              <w:ind w:left="-117" w:right="-109"/>
            </w:pPr>
          </w:p>
        </w:tc>
        <w:tc>
          <w:tcPr>
            <w:tcW w:w="236" w:type="dxa"/>
            <w:vMerge/>
          </w:tcPr>
          <w:p w14:paraId="45257F83" w14:textId="77777777" w:rsidR="00380DD5" w:rsidRDefault="00380DD5" w:rsidP="00380DD5">
            <w:pPr>
              <w:widowControl w:val="0"/>
              <w:autoSpaceDE w:val="0"/>
              <w:autoSpaceDN w:val="0"/>
              <w:adjustRightInd w:val="0"/>
              <w:ind w:right="-94"/>
            </w:pPr>
          </w:p>
        </w:tc>
        <w:tc>
          <w:tcPr>
            <w:tcW w:w="2467" w:type="dxa"/>
            <w:vMerge/>
          </w:tcPr>
          <w:p w14:paraId="4A99A938" w14:textId="77777777" w:rsidR="00380DD5" w:rsidRDefault="00380DD5" w:rsidP="00380DD5">
            <w:pPr>
              <w:widowControl w:val="0"/>
              <w:autoSpaceDE w:val="0"/>
              <w:autoSpaceDN w:val="0"/>
              <w:adjustRightInd w:val="0"/>
              <w:ind w:left="-122" w:right="-96"/>
            </w:pPr>
          </w:p>
        </w:tc>
        <w:tc>
          <w:tcPr>
            <w:tcW w:w="312" w:type="dxa"/>
            <w:vMerge/>
          </w:tcPr>
          <w:p w14:paraId="03FDA104" w14:textId="77777777" w:rsidR="00380DD5" w:rsidRDefault="00380DD5" w:rsidP="00380DD5">
            <w:pPr>
              <w:widowControl w:val="0"/>
              <w:autoSpaceDE w:val="0"/>
              <w:autoSpaceDN w:val="0"/>
              <w:adjustRightInd w:val="0"/>
              <w:ind w:left="-102" w:right="-71"/>
            </w:pPr>
          </w:p>
        </w:tc>
        <w:tc>
          <w:tcPr>
            <w:tcW w:w="3114" w:type="dxa"/>
            <w:tcBorders>
              <w:top w:val="single" w:sz="4" w:space="0" w:color="auto"/>
            </w:tcBorders>
          </w:tcPr>
          <w:p w14:paraId="3416B77F" w14:textId="77777777" w:rsidR="00380DD5" w:rsidRDefault="00380DD5" w:rsidP="00380DD5">
            <w:pPr>
              <w:widowControl w:val="0"/>
              <w:autoSpaceDE w:val="0"/>
              <w:autoSpaceDN w:val="0"/>
              <w:adjustRightInd w:val="0"/>
              <w:ind w:left="-98" w:right="-99"/>
              <w:jc w:val="center"/>
            </w:pPr>
            <w:r>
              <w:t>100</w:t>
            </w:r>
          </w:p>
        </w:tc>
      </w:tr>
    </w:tbl>
    <w:p w14:paraId="65B60DA3" w14:textId="77777777" w:rsidR="00380DD5" w:rsidRDefault="00380DD5" w:rsidP="00247601">
      <w:pPr>
        <w:widowControl w:val="0"/>
        <w:autoSpaceDE w:val="0"/>
        <w:autoSpaceDN w:val="0"/>
        <w:adjustRightInd w:val="0"/>
      </w:pPr>
    </w:p>
    <w:p w14:paraId="14360B5F" w14:textId="77777777" w:rsidR="00247601" w:rsidRDefault="00380DD5" w:rsidP="0021615C">
      <w:pPr>
        <w:widowControl w:val="0"/>
        <w:autoSpaceDE w:val="0"/>
        <w:autoSpaceDN w:val="0"/>
        <w:adjustRightInd w:val="0"/>
        <w:ind w:left="-18" w:right="-99" w:firstLine="45"/>
      </w:pPr>
      <w:r>
        <w:t>total fineness efficiency assumed to be 100</w:t>
      </w:r>
    </w:p>
    <w:p w14:paraId="785EF73A" w14:textId="77777777" w:rsidR="008101C4" w:rsidRDefault="008101C4" w:rsidP="0021615C">
      <w:pPr>
        <w:widowControl w:val="0"/>
        <w:autoSpaceDE w:val="0"/>
        <w:autoSpaceDN w:val="0"/>
        <w:adjustRightInd w:val="0"/>
        <w:ind w:firstLine="45"/>
      </w:pPr>
    </w:p>
    <w:tbl>
      <w:tblPr>
        <w:tblW w:w="4077" w:type="dxa"/>
        <w:tblInd w:w="108" w:type="dxa"/>
        <w:tblLook w:val="0000" w:firstRow="0" w:lastRow="0" w:firstColumn="0" w:lastColumn="0" w:noHBand="0" w:noVBand="0"/>
      </w:tblPr>
      <w:tblGrid>
        <w:gridCol w:w="1242"/>
        <w:gridCol w:w="576"/>
        <w:gridCol w:w="1215"/>
        <w:gridCol w:w="279"/>
        <w:gridCol w:w="765"/>
      </w:tblGrid>
      <w:tr w:rsidR="0021615C" w:rsidRPr="00380DD5" w14:paraId="3AEDD025" w14:textId="77777777">
        <w:tc>
          <w:tcPr>
            <w:tcW w:w="1242" w:type="dxa"/>
            <w:vMerge w:val="restart"/>
            <w:vAlign w:val="center"/>
          </w:tcPr>
          <w:p w14:paraId="6E3F635B" w14:textId="77777777" w:rsidR="0021615C" w:rsidRDefault="0021615C" w:rsidP="0021615C">
            <w:pPr>
              <w:widowControl w:val="0"/>
              <w:autoSpaceDE w:val="0"/>
              <w:autoSpaceDN w:val="0"/>
              <w:adjustRightInd w:val="0"/>
              <w:ind w:left="-90" w:right="-109" w:firstLine="15"/>
            </w:pPr>
            <w:r>
              <w:t xml:space="preserve">Therefore:  </w:t>
            </w:r>
          </w:p>
        </w:tc>
        <w:tc>
          <w:tcPr>
            <w:tcW w:w="576" w:type="dxa"/>
            <w:vMerge w:val="restart"/>
            <w:vAlign w:val="center"/>
          </w:tcPr>
          <w:p w14:paraId="10D37A7F" w14:textId="77777777" w:rsidR="0021615C" w:rsidRDefault="0021615C" w:rsidP="0021615C">
            <w:pPr>
              <w:widowControl w:val="0"/>
              <w:autoSpaceDE w:val="0"/>
              <w:autoSpaceDN w:val="0"/>
              <w:adjustRightInd w:val="0"/>
              <w:ind w:left="-117" w:right="-109" w:firstLine="45"/>
            </w:pPr>
            <w:r>
              <w:t>ENV</w:t>
            </w:r>
          </w:p>
        </w:tc>
        <w:tc>
          <w:tcPr>
            <w:tcW w:w="1215" w:type="dxa"/>
            <w:tcBorders>
              <w:bottom w:val="single" w:sz="4" w:space="0" w:color="auto"/>
            </w:tcBorders>
            <w:vAlign w:val="center"/>
          </w:tcPr>
          <w:p w14:paraId="1C0F04EC" w14:textId="77777777" w:rsidR="0021615C" w:rsidRPr="00380DD5" w:rsidRDefault="0021615C" w:rsidP="0021615C">
            <w:pPr>
              <w:widowControl w:val="0"/>
              <w:autoSpaceDE w:val="0"/>
              <w:autoSpaceDN w:val="0"/>
              <w:adjustRightInd w:val="0"/>
              <w:ind w:left="-98" w:right="-99" w:firstLine="45"/>
              <w:jc w:val="center"/>
            </w:pPr>
            <w:r>
              <w:t>100 x 94.34</w:t>
            </w:r>
          </w:p>
        </w:tc>
        <w:tc>
          <w:tcPr>
            <w:tcW w:w="279" w:type="dxa"/>
            <w:vMerge w:val="restart"/>
            <w:vAlign w:val="center"/>
          </w:tcPr>
          <w:p w14:paraId="073CA0B6" w14:textId="77777777" w:rsidR="0021615C" w:rsidRDefault="0021615C" w:rsidP="0021615C">
            <w:pPr>
              <w:widowControl w:val="0"/>
              <w:autoSpaceDE w:val="0"/>
              <w:autoSpaceDN w:val="0"/>
              <w:adjustRightInd w:val="0"/>
              <w:ind w:left="-108" w:right="-108" w:firstLine="45"/>
              <w:jc w:val="center"/>
            </w:pPr>
            <w:r>
              <w:t>=</w:t>
            </w:r>
          </w:p>
        </w:tc>
        <w:tc>
          <w:tcPr>
            <w:tcW w:w="765" w:type="dxa"/>
            <w:vMerge w:val="restart"/>
            <w:vAlign w:val="center"/>
          </w:tcPr>
          <w:p w14:paraId="3BEE2AD4" w14:textId="77777777" w:rsidR="0021615C" w:rsidRDefault="0021615C" w:rsidP="0021615C">
            <w:pPr>
              <w:widowControl w:val="0"/>
              <w:autoSpaceDE w:val="0"/>
              <w:autoSpaceDN w:val="0"/>
              <w:adjustRightInd w:val="0"/>
              <w:ind w:left="-102" w:right="-71" w:firstLine="45"/>
              <w:jc w:val="center"/>
            </w:pPr>
            <w:r>
              <w:t>94.34</w:t>
            </w:r>
          </w:p>
        </w:tc>
      </w:tr>
      <w:tr w:rsidR="0021615C" w14:paraId="52738B30" w14:textId="77777777">
        <w:tc>
          <w:tcPr>
            <w:tcW w:w="1242" w:type="dxa"/>
            <w:vMerge/>
          </w:tcPr>
          <w:p w14:paraId="50570012" w14:textId="77777777" w:rsidR="0021615C" w:rsidRDefault="0021615C" w:rsidP="00170095">
            <w:pPr>
              <w:widowControl w:val="0"/>
              <w:autoSpaceDE w:val="0"/>
              <w:autoSpaceDN w:val="0"/>
              <w:adjustRightInd w:val="0"/>
              <w:ind w:left="-117" w:right="-109"/>
            </w:pPr>
          </w:p>
        </w:tc>
        <w:tc>
          <w:tcPr>
            <w:tcW w:w="576" w:type="dxa"/>
            <w:vMerge/>
          </w:tcPr>
          <w:p w14:paraId="34AA8A35" w14:textId="77777777" w:rsidR="0021615C" w:rsidRDefault="0021615C" w:rsidP="00170095">
            <w:pPr>
              <w:widowControl w:val="0"/>
              <w:autoSpaceDE w:val="0"/>
              <w:autoSpaceDN w:val="0"/>
              <w:adjustRightInd w:val="0"/>
              <w:ind w:left="-117" w:right="-109"/>
            </w:pPr>
          </w:p>
        </w:tc>
        <w:tc>
          <w:tcPr>
            <w:tcW w:w="1215" w:type="dxa"/>
            <w:tcBorders>
              <w:top w:val="single" w:sz="4" w:space="0" w:color="auto"/>
            </w:tcBorders>
          </w:tcPr>
          <w:p w14:paraId="0D84DAAA" w14:textId="77777777" w:rsidR="0021615C" w:rsidRDefault="0021615C" w:rsidP="00170095">
            <w:pPr>
              <w:widowControl w:val="0"/>
              <w:autoSpaceDE w:val="0"/>
              <w:autoSpaceDN w:val="0"/>
              <w:adjustRightInd w:val="0"/>
              <w:ind w:left="-98" w:right="-99"/>
              <w:jc w:val="center"/>
            </w:pPr>
            <w:r>
              <w:t>100</w:t>
            </w:r>
          </w:p>
        </w:tc>
        <w:tc>
          <w:tcPr>
            <w:tcW w:w="279" w:type="dxa"/>
            <w:vMerge/>
          </w:tcPr>
          <w:p w14:paraId="3CC56335" w14:textId="77777777" w:rsidR="0021615C" w:rsidRDefault="0021615C" w:rsidP="00170095">
            <w:pPr>
              <w:widowControl w:val="0"/>
              <w:autoSpaceDE w:val="0"/>
              <w:autoSpaceDN w:val="0"/>
              <w:adjustRightInd w:val="0"/>
              <w:ind w:right="-94"/>
            </w:pPr>
          </w:p>
        </w:tc>
        <w:tc>
          <w:tcPr>
            <w:tcW w:w="765" w:type="dxa"/>
            <w:vMerge/>
          </w:tcPr>
          <w:p w14:paraId="7B7BAB9C" w14:textId="77777777" w:rsidR="0021615C" w:rsidRDefault="0021615C" w:rsidP="00170095">
            <w:pPr>
              <w:widowControl w:val="0"/>
              <w:autoSpaceDE w:val="0"/>
              <w:autoSpaceDN w:val="0"/>
              <w:adjustRightInd w:val="0"/>
              <w:ind w:left="-102" w:right="-71"/>
            </w:pPr>
          </w:p>
        </w:tc>
      </w:tr>
    </w:tbl>
    <w:p w14:paraId="35AF92AB" w14:textId="77777777" w:rsidR="0021615C" w:rsidRDefault="0021615C" w:rsidP="00247601">
      <w:pPr>
        <w:widowControl w:val="0"/>
        <w:autoSpaceDE w:val="0"/>
        <w:autoSpaceDN w:val="0"/>
        <w:adjustRightInd w:val="0"/>
      </w:pPr>
    </w:p>
    <w:p w14:paraId="2B9A88FB" w14:textId="77777777" w:rsidR="00247601" w:rsidRDefault="00247601" w:rsidP="002C65A8">
      <w:pPr>
        <w:widowControl w:val="0"/>
        <w:autoSpaceDE w:val="0"/>
        <w:autoSpaceDN w:val="0"/>
        <w:adjustRightInd w:val="0"/>
      </w:pPr>
      <w:r>
        <w:t>II.</w:t>
      </w:r>
      <w:r>
        <w:tab/>
        <w:t xml:space="preserve">Compare ENV of water treatment plant lime sludge to ENV of agricultural limestone. </w:t>
      </w:r>
    </w:p>
    <w:p w14:paraId="6285DD5F" w14:textId="77777777" w:rsidR="00247601" w:rsidRDefault="00247601" w:rsidP="00247601">
      <w:pPr>
        <w:widowControl w:val="0"/>
        <w:autoSpaceDE w:val="0"/>
        <w:autoSpaceDN w:val="0"/>
        <w:adjustRightInd w:val="0"/>
      </w:pPr>
    </w:p>
    <w:p w14:paraId="448A7DB2" w14:textId="77777777" w:rsidR="0021615C" w:rsidRDefault="0021615C" w:rsidP="00247601">
      <w:pPr>
        <w:widowControl w:val="0"/>
        <w:autoSpaceDE w:val="0"/>
        <w:autoSpaceDN w:val="0"/>
        <w:adjustRightInd w:val="0"/>
      </w:pPr>
      <w:r>
        <w:tab/>
        <w:t>Given:</w:t>
      </w:r>
      <w:r>
        <w:tab/>
      </w:r>
      <w:r>
        <w:tab/>
        <w:t>1.</w:t>
      </w:r>
      <w:r>
        <w:tab/>
        <w:t>ENV of typical agricultural limestone = 46.35</w:t>
      </w:r>
    </w:p>
    <w:p w14:paraId="1004FCFE" w14:textId="77777777" w:rsidR="0021615C" w:rsidRDefault="0021615C" w:rsidP="00247601">
      <w:pPr>
        <w:widowControl w:val="0"/>
        <w:autoSpaceDE w:val="0"/>
        <w:autoSpaceDN w:val="0"/>
        <w:adjustRightInd w:val="0"/>
      </w:pPr>
    </w:p>
    <w:p w14:paraId="2A6A6242" w14:textId="77777777" w:rsidR="0021615C" w:rsidRDefault="0021615C" w:rsidP="00247601">
      <w:pPr>
        <w:widowControl w:val="0"/>
        <w:autoSpaceDE w:val="0"/>
        <w:autoSpaceDN w:val="0"/>
        <w:adjustRightInd w:val="0"/>
      </w:pPr>
      <w:r>
        <w:tab/>
      </w:r>
      <w:r>
        <w:tab/>
      </w:r>
      <w:r>
        <w:tab/>
        <w:t>2.</w:t>
      </w:r>
      <w:r>
        <w:tab/>
        <w:t>ENV of water plant lime sludge from (I.) above = 94.34</w:t>
      </w:r>
    </w:p>
    <w:p w14:paraId="4E484A7A" w14:textId="77777777" w:rsidR="0021615C" w:rsidRDefault="0021615C" w:rsidP="00247601">
      <w:pPr>
        <w:widowControl w:val="0"/>
        <w:autoSpaceDE w:val="0"/>
        <w:autoSpaceDN w:val="0"/>
        <w:adjustRightInd w:val="0"/>
      </w:pPr>
    </w:p>
    <w:tbl>
      <w:tblPr>
        <w:tblW w:w="0" w:type="auto"/>
        <w:tblInd w:w="720" w:type="dxa"/>
        <w:tblLook w:val="0000" w:firstRow="0" w:lastRow="0" w:firstColumn="0" w:lastColumn="0" w:noHBand="0" w:noVBand="0"/>
      </w:tblPr>
      <w:tblGrid>
        <w:gridCol w:w="1782"/>
        <w:gridCol w:w="407"/>
        <w:gridCol w:w="2842"/>
      </w:tblGrid>
      <w:tr w:rsidR="004E1A19" w14:paraId="038357A6" w14:textId="77777777">
        <w:tc>
          <w:tcPr>
            <w:tcW w:w="1782" w:type="dxa"/>
            <w:vMerge w:val="restart"/>
            <w:vAlign w:val="center"/>
          </w:tcPr>
          <w:p w14:paraId="465E159E" w14:textId="77777777" w:rsidR="004E1A19" w:rsidRDefault="004E1A19" w:rsidP="004E1A19">
            <w:pPr>
              <w:widowControl w:val="0"/>
              <w:autoSpaceDE w:val="0"/>
              <w:autoSpaceDN w:val="0"/>
              <w:adjustRightInd w:val="0"/>
              <w:ind w:right="-108"/>
            </w:pPr>
            <w:r>
              <w:t>Correction factor</w:t>
            </w:r>
          </w:p>
        </w:tc>
        <w:tc>
          <w:tcPr>
            <w:tcW w:w="407" w:type="dxa"/>
            <w:vMerge w:val="restart"/>
            <w:vAlign w:val="center"/>
          </w:tcPr>
          <w:p w14:paraId="22702C70" w14:textId="77777777" w:rsidR="004E1A19" w:rsidRDefault="004E1A19" w:rsidP="004E1A19">
            <w:pPr>
              <w:widowControl w:val="0"/>
              <w:autoSpaceDE w:val="0"/>
              <w:autoSpaceDN w:val="0"/>
              <w:adjustRightInd w:val="0"/>
              <w:ind w:left="-108" w:right="-96"/>
              <w:jc w:val="center"/>
            </w:pPr>
            <w:r>
              <w:t>=</w:t>
            </w:r>
          </w:p>
        </w:tc>
        <w:tc>
          <w:tcPr>
            <w:tcW w:w="2842" w:type="dxa"/>
            <w:tcBorders>
              <w:bottom w:val="single" w:sz="4" w:space="0" w:color="auto"/>
            </w:tcBorders>
          </w:tcPr>
          <w:p w14:paraId="44657697" w14:textId="77777777" w:rsidR="004E1A19" w:rsidRPr="004E1A19" w:rsidRDefault="004E1A19" w:rsidP="004E1A19">
            <w:pPr>
              <w:widowControl w:val="0"/>
              <w:autoSpaceDE w:val="0"/>
              <w:autoSpaceDN w:val="0"/>
              <w:adjustRightInd w:val="0"/>
              <w:jc w:val="center"/>
            </w:pPr>
            <w:r w:rsidRPr="004E1A19">
              <w:t>ENV of typical limestone</w:t>
            </w:r>
          </w:p>
        </w:tc>
      </w:tr>
      <w:tr w:rsidR="004E1A19" w14:paraId="19B38EDB" w14:textId="77777777">
        <w:tc>
          <w:tcPr>
            <w:tcW w:w="1782" w:type="dxa"/>
            <w:vMerge/>
          </w:tcPr>
          <w:p w14:paraId="60C63825" w14:textId="77777777" w:rsidR="004E1A19" w:rsidRDefault="004E1A19" w:rsidP="004E1A19">
            <w:pPr>
              <w:widowControl w:val="0"/>
              <w:autoSpaceDE w:val="0"/>
              <w:autoSpaceDN w:val="0"/>
              <w:adjustRightInd w:val="0"/>
              <w:ind w:right="-108"/>
            </w:pPr>
          </w:p>
        </w:tc>
        <w:tc>
          <w:tcPr>
            <w:tcW w:w="407" w:type="dxa"/>
            <w:vMerge/>
          </w:tcPr>
          <w:p w14:paraId="2F64D02A" w14:textId="77777777" w:rsidR="004E1A19" w:rsidRDefault="004E1A19" w:rsidP="004E1A19">
            <w:pPr>
              <w:widowControl w:val="0"/>
              <w:autoSpaceDE w:val="0"/>
              <w:autoSpaceDN w:val="0"/>
              <w:adjustRightInd w:val="0"/>
              <w:ind w:left="-108" w:right="-96"/>
              <w:jc w:val="center"/>
            </w:pPr>
          </w:p>
        </w:tc>
        <w:tc>
          <w:tcPr>
            <w:tcW w:w="2842" w:type="dxa"/>
            <w:tcBorders>
              <w:top w:val="single" w:sz="4" w:space="0" w:color="auto"/>
            </w:tcBorders>
          </w:tcPr>
          <w:p w14:paraId="4992A43D" w14:textId="77777777" w:rsidR="004E1A19" w:rsidRDefault="004E1A19" w:rsidP="004E1A19">
            <w:pPr>
              <w:widowControl w:val="0"/>
              <w:autoSpaceDE w:val="0"/>
              <w:autoSpaceDN w:val="0"/>
              <w:adjustRightInd w:val="0"/>
              <w:jc w:val="center"/>
            </w:pPr>
            <w:r>
              <w:t>ENV of water plant sludge</w:t>
            </w:r>
          </w:p>
        </w:tc>
      </w:tr>
    </w:tbl>
    <w:p w14:paraId="187C211B" w14:textId="77777777" w:rsidR="0021615C" w:rsidRDefault="0021615C"/>
    <w:tbl>
      <w:tblPr>
        <w:tblW w:w="0" w:type="auto"/>
        <w:tblInd w:w="720" w:type="dxa"/>
        <w:tblLook w:val="0000" w:firstRow="0" w:lastRow="0" w:firstColumn="0" w:lastColumn="0" w:noHBand="0" w:noVBand="0"/>
      </w:tblPr>
      <w:tblGrid>
        <w:gridCol w:w="1782"/>
        <w:gridCol w:w="399"/>
        <w:gridCol w:w="855"/>
        <w:gridCol w:w="1311"/>
      </w:tblGrid>
      <w:tr w:rsidR="004E1A19" w14:paraId="1A24776A" w14:textId="77777777">
        <w:tc>
          <w:tcPr>
            <w:tcW w:w="1782" w:type="dxa"/>
          </w:tcPr>
          <w:p w14:paraId="6D0ECF77" w14:textId="77777777" w:rsidR="004E1A19" w:rsidRDefault="004E1A19" w:rsidP="00247601">
            <w:pPr>
              <w:widowControl w:val="0"/>
              <w:autoSpaceDE w:val="0"/>
              <w:autoSpaceDN w:val="0"/>
              <w:adjustRightInd w:val="0"/>
            </w:pPr>
          </w:p>
        </w:tc>
        <w:tc>
          <w:tcPr>
            <w:tcW w:w="399" w:type="dxa"/>
            <w:vMerge w:val="restart"/>
            <w:vAlign w:val="center"/>
          </w:tcPr>
          <w:p w14:paraId="6C39ED15" w14:textId="77777777" w:rsidR="004E1A19" w:rsidRDefault="004E1A19" w:rsidP="004E1A19">
            <w:pPr>
              <w:widowControl w:val="0"/>
              <w:autoSpaceDE w:val="0"/>
              <w:autoSpaceDN w:val="0"/>
              <w:adjustRightInd w:val="0"/>
              <w:ind w:left="-108" w:right="-108"/>
              <w:jc w:val="center"/>
            </w:pPr>
            <w:r>
              <w:t>=</w:t>
            </w:r>
          </w:p>
        </w:tc>
        <w:tc>
          <w:tcPr>
            <w:tcW w:w="855" w:type="dxa"/>
            <w:tcBorders>
              <w:bottom w:val="single" w:sz="4" w:space="0" w:color="auto"/>
            </w:tcBorders>
          </w:tcPr>
          <w:p w14:paraId="05492B5B" w14:textId="77777777" w:rsidR="004E1A19" w:rsidRPr="0021615C" w:rsidRDefault="004E1A19" w:rsidP="004E1A19">
            <w:pPr>
              <w:widowControl w:val="0"/>
              <w:autoSpaceDE w:val="0"/>
              <w:autoSpaceDN w:val="0"/>
              <w:adjustRightInd w:val="0"/>
              <w:jc w:val="center"/>
            </w:pPr>
            <w:r w:rsidRPr="0021615C">
              <w:t>46.35</w:t>
            </w:r>
          </w:p>
        </w:tc>
        <w:tc>
          <w:tcPr>
            <w:tcW w:w="1311" w:type="dxa"/>
            <w:vMerge w:val="restart"/>
            <w:vAlign w:val="center"/>
          </w:tcPr>
          <w:p w14:paraId="6310E4C0" w14:textId="77777777" w:rsidR="004E1A19" w:rsidRPr="008101C4" w:rsidRDefault="004E1A19" w:rsidP="004E1A19">
            <w:pPr>
              <w:widowControl w:val="0"/>
              <w:autoSpaceDE w:val="0"/>
              <w:autoSpaceDN w:val="0"/>
              <w:adjustRightInd w:val="0"/>
              <w:ind w:left="-108" w:right="-96"/>
              <w:jc w:val="center"/>
              <w:rPr>
                <w:u w:val="single"/>
              </w:rPr>
            </w:pPr>
            <w:r w:rsidRPr="0021615C">
              <w:t>=</w:t>
            </w:r>
            <w:r>
              <w:t xml:space="preserve"> 0.49 or 0.5</w:t>
            </w:r>
          </w:p>
        </w:tc>
      </w:tr>
      <w:tr w:rsidR="004E1A19" w14:paraId="2A020FE6" w14:textId="77777777">
        <w:tc>
          <w:tcPr>
            <w:tcW w:w="1782" w:type="dxa"/>
          </w:tcPr>
          <w:p w14:paraId="0405D2F0" w14:textId="77777777" w:rsidR="004E1A19" w:rsidRDefault="004E1A19" w:rsidP="00247601">
            <w:pPr>
              <w:widowControl w:val="0"/>
              <w:autoSpaceDE w:val="0"/>
              <w:autoSpaceDN w:val="0"/>
              <w:adjustRightInd w:val="0"/>
            </w:pPr>
          </w:p>
        </w:tc>
        <w:tc>
          <w:tcPr>
            <w:tcW w:w="399" w:type="dxa"/>
            <w:vMerge/>
          </w:tcPr>
          <w:p w14:paraId="6E79E1DB" w14:textId="77777777" w:rsidR="004E1A19" w:rsidRDefault="004E1A19" w:rsidP="00247601">
            <w:pPr>
              <w:widowControl w:val="0"/>
              <w:autoSpaceDE w:val="0"/>
              <w:autoSpaceDN w:val="0"/>
              <w:adjustRightInd w:val="0"/>
            </w:pPr>
          </w:p>
        </w:tc>
        <w:tc>
          <w:tcPr>
            <w:tcW w:w="855" w:type="dxa"/>
            <w:tcBorders>
              <w:top w:val="single" w:sz="4" w:space="0" w:color="auto"/>
            </w:tcBorders>
          </w:tcPr>
          <w:p w14:paraId="54DA6FE4" w14:textId="77777777" w:rsidR="004E1A19" w:rsidRDefault="004E1A19" w:rsidP="004E1A19">
            <w:pPr>
              <w:widowControl w:val="0"/>
              <w:autoSpaceDE w:val="0"/>
              <w:autoSpaceDN w:val="0"/>
              <w:adjustRightInd w:val="0"/>
              <w:jc w:val="center"/>
            </w:pPr>
            <w:r>
              <w:t>94.34</w:t>
            </w:r>
          </w:p>
        </w:tc>
        <w:tc>
          <w:tcPr>
            <w:tcW w:w="1311" w:type="dxa"/>
            <w:vMerge/>
          </w:tcPr>
          <w:p w14:paraId="5B0355DE" w14:textId="77777777" w:rsidR="004E1A19" w:rsidRDefault="004E1A19" w:rsidP="004E1A19">
            <w:pPr>
              <w:widowControl w:val="0"/>
              <w:autoSpaceDE w:val="0"/>
              <w:autoSpaceDN w:val="0"/>
              <w:adjustRightInd w:val="0"/>
              <w:ind w:left="-108" w:right="-96"/>
            </w:pPr>
          </w:p>
        </w:tc>
      </w:tr>
    </w:tbl>
    <w:p w14:paraId="2C28B3C3" w14:textId="77777777" w:rsidR="002C65A8" w:rsidRDefault="002C65A8" w:rsidP="00247601">
      <w:pPr>
        <w:widowControl w:val="0"/>
        <w:autoSpaceDE w:val="0"/>
        <w:autoSpaceDN w:val="0"/>
        <w:adjustRightInd w:val="0"/>
      </w:pPr>
    </w:p>
    <w:p w14:paraId="30850513" w14:textId="77777777" w:rsidR="00247601" w:rsidRDefault="00247601" w:rsidP="008101C4">
      <w:pPr>
        <w:widowControl w:val="0"/>
        <w:autoSpaceDE w:val="0"/>
        <w:autoSpaceDN w:val="0"/>
        <w:adjustRightInd w:val="0"/>
        <w:ind w:left="720"/>
      </w:pPr>
      <w:r>
        <w:t>This means that 0.5 tons of water treatment plant lime slu</w:t>
      </w:r>
      <w:r w:rsidR="008101C4">
        <w:t xml:space="preserve">dge is approximately equivalent </w:t>
      </w:r>
      <w:r>
        <w:t xml:space="preserve">to 1.0 tons of typical agricultural lime. </w:t>
      </w:r>
    </w:p>
    <w:p w14:paraId="7A207D72" w14:textId="77777777" w:rsidR="00803457" w:rsidRDefault="00803457" w:rsidP="008101C4">
      <w:pPr>
        <w:widowControl w:val="0"/>
        <w:autoSpaceDE w:val="0"/>
        <w:autoSpaceDN w:val="0"/>
        <w:adjustRightInd w:val="0"/>
        <w:ind w:left="720"/>
      </w:pPr>
    </w:p>
    <w:p w14:paraId="4B796C8F" w14:textId="77777777" w:rsidR="00247601" w:rsidRDefault="00247601" w:rsidP="008101C4">
      <w:pPr>
        <w:widowControl w:val="0"/>
        <w:autoSpaceDE w:val="0"/>
        <w:autoSpaceDN w:val="0"/>
        <w:adjustRightInd w:val="0"/>
      </w:pPr>
      <w:r>
        <w:t>III.</w:t>
      </w:r>
      <w:r>
        <w:tab/>
        <w:t xml:space="preserve">Lime sludge will be applied to a light-colored silty clay loam soil having a pH of 5.0. </w:t>
      </w:r>
    </w:p>
    <w:p w14:paraId="0C468464" w14:textId="77777777" w:rsidR="00C711FC" w:rsidRDefault="00C711FC" w:rsidP="008101C4">
      <w:pPr>
        <w:widowControl w:val="0"/>
        <w:autoSpaceDE w:val="0"/>
        <w:autoSpaceDN w:val="0"/>
        <w:adjustRightInd w:val="0"/>
      </w:pPr>
    </w:p>
    <w:p w14:paraId="0851AD06" w14:textId="77777777" w:rsidR="00C711FC" w:rsidRDefault="00247601" w:rsidP="008101C4">
      <w:pPr>
        <w:widowControl w:val="0"/>
        <w:autoSpaceDE w:val="0"/>
        <w:autoSpaceDN w:val="0"/>
        <w:adjustRightInd w:val="0"/>
      </w:pPr>
      <w:r>
        <w:t>IV.</w:t>
      </w:r>
      <w:r>
        <w:tab/>
        <w:t>The soil will be used for grain farming.</w:t>
      </w:r>
    </w:p>
    <w:p w14:paraId="4067779A" w14:textId="77777777" w:rsidR="00247601" w:rsidRDefault="00247601" w:rsidP="008101C4">
      <w:pPr>
        <w:widowControl w:val="0"/>
        <w:autoSpaceDE w:val="0"/>
        <w:autoSpaceDN w:val="0"/>
        <w:adjustRightInd w:val="0"/>
      </w:pPr>
      <w:r>
        <w:t xml:space="preserve"> </w:t>
      </w:r>
    </w:p>
    <w:p w14:paraId="5C64202B" w14:textId="77777777" w:rsidR="00247601" w:rsidRDefault="00247601" w:rsidP="008101C4">
      <w:pPr>
        <w:widowControl w:val="0"/>
        <w:autoSpaceDE w:val="0"/>
        <w:autoSpaceDN w:val="0"/>
        <w:adjustRightInd w:val="0"/>
        <w:ind w:left="720" w:hanging="720"/>
      </w:pPr>
      <w:r>
        <w:t>V.</w:t>
      </w:r>
      <w:r>
        <w:tab/>
        <w:t xml:space="preserve">The following list of soil types are to be used with the corresponding letters shown on Charts I and II for the respective cropping systems: </w:t>
      </w:r>
    </w:p>
    <w:p w14:paraId="0832E791" w14:textId="77777777" w:rsidR="00247601" w:rsidRDefault="00247601" w:rsidP="008101C4">
      <w:pPr>
        <w:widowControl w:val="0"/>
        <w:autoSpaceDE w:val="0"/>
        <w:autoSpaceDN w:val="0"/>
        <w:adjustRightInd w:val="0"/>
        <w:ind w:firstLine="720"/>
      </w:pPr>
      <w:r>
        <w:t>A)</w:t>
      </w:r>
      <w:r>
        <w:tab/>
        <w:t xml:space="preserve">Dark-colored silty clays and silty clay loams. </w:t>
      </w:r>
    </w:p>
    <w:p w14:paraId="23EA6644" w14:textId="77777777" w:rsidR="00247601" w:rsidRDefault="00247601" w:rsidP="008101C4">
      <w:pPr>
        <w:widowControl w:val="0"/>
        <w:autoSpaceDE w:val="0"/>
        <w:autoSpaceDN w:val="0"/>
        <w:adjustRightInd w:val="0"/>
        <w:ind w:left="1440" w:hanging="720"/>
      </w:pPr>
      <w:r>
        <w:t>B)</w:t>
      </w:r>
      <w:r>
        <w:tab/>
        <w:t xml:space="preserve">Light-and medium-colored silty clays and silty clay loams; dark-colored silt and clay loams. </w:t>
      </w:r>
    </w:p>
    <w:p w14:paraId="72620834" w14:textId="77777777" w:rsidR="00247601" w:rsidRDefault="00247601" w:rsidP="008101C4">
      <w:pPr>
        <w:widowControl w:val="0"/>
        <w:autoSpaceDE w:val="0"/>
        <w:autoSpaceDN w:val="0"/>
        <w:adjustRightInd w:val="0"/>
        <w:ind w:left="1440" w:hanging="720"/>
      </w:pPr>
      <w:r>
        <w:t>C)</w:t>
      </w:r>
      <w:r>
        <w:tab/>
        <w:t xml:space="preserve">Light- and medium-colored silt and clay loams; dark- and medium-colored loams; dark-colored sandy loams. </w:t>
      </w:r>
    </w:p>
    <w:p w14:paraId="35E1BA5D" w14:textId="77777777" w:rsidR="00247601" w:rsidRDefault="00247601" w:rsidP="008101C4">
      <w:pPr>
        <w:widowControl w:val="0"/>
        <w:autoSpaceDE w:val="0"/>
        <w:autoSpaceDN w:val="0"/>
        <w:adjustRightInd w:val="0"/>
        <w:ind w:firstLine="720"/>
      </w:pPr>
      <w:r>
        <w:t>D)</w:t>
      </w:r>
      <w:r>
        <w:tab/>
        <w:t xml:space="preserve">Light-colored loams; light- and medium-colored sandy loams; sands. </w:t>
      </w:r>
    </w:p>
    <w:p w14:paraId="2FB744D9" w14:textId="77777777" w:rsidR="00247601" w:rsidRDefault="00247601" w:rsidP="008101C4">
      <w:pPr>
        <w:widowControl w:val="0"/>
        <w:autoSpaceDE w:val="0"/>
        <w:autoSpaceDN w:val="0"/>
        <w:adjustRightInd w:val="0"/>
        <w:ind w:firstLine="720"/>
      </w:pPr>
      <w:r>
        <w:t>E)</w:t>
      </w:r>
      <w:r>
        <w:tab/>
        <w:t xml:space="preserve">Muck and peat. </w:t>
      </w:r>
    </w:p>
    <w:p w14:paraId="24D9021D" w14:textId="77777777" w:rsidR="00247601" w:rsidRDefault="00247601" w:rsidP="00803457">
      <w:pPr>
        <w:widowControl w:val="0"/>
        <w:autoSpaceDE w:val="0"/>
        <w:autoSpaceDN w:val="0"/>
        <w:adjustRightInd w:val="0"/>
        <w:ind w:left="741" w:hanging="21"/>
      </w:pPr>
      <w:r>
        <w:t xml:space="preserve">Note:  Color is related to organic matter.  Light-colored soils usually have less than 2.5 percent organic matter; medium-colored soils have 2.5 to 4.5 percent organic matter; dark-colored soils have above 4.5 percent organic matter; sands are excluded. </w:t>
      </w:r>
    </w:p>
    <w:p w14:paraId="3432DEBD" w14:textId="77777777" w:rsidR="00C711FC" w:rsidRDefault="00C711FC" w:rsidP="00803457">
      <w:pPr>
        <w:widowControl w:val="0"/>
        <w:autoSpaceDE w:val="0"/>
        <w:autoSpaceDN w:val="0"/>
        <w:adjustRightInd w:val="0"/>
        <w:ind w:left="741" w:hanging="21"/>
      </w:pPr>
    </w:p>
    <w:p w14:paraId="1E97C816" w14:textId="77777777" w:rsidR="00247601" w:rsidRDefault="00247601" w:rsidP="00DB0B72">
      <w:pPr>
        <w:widowControl w:val="0"/>
        <w:autoSpaceDE w:val="0"/>
        <w:autoSpaceDN w:val="0"/>
        <w:adjustRightInd w:val="0"/>
        <w:ind w:left="720" w:hanging="720"/>
      </w:pPr>
      <w:r>
        <w:t>VI.</w:t>
      </w:r>
      <w:r>
        <w:tab/>
        <w:t xml:space="preserve">With the above assumptions and referring to Chart I the corresponding typical agricultural limestone application rate is 6 tons per acre. </w:t>
      </w:r>
    </w:p>
    <w:p w14:paraId="3FE3BC26" w14:textId="77777777" w:rsidR="00803457" w:rsidRDefault="00803457" w:rsidP="00DB0B72">
      <w:pPr>
        <w:widowControl w:val="0"/>
        <w:autoSpaceDE w:val="0"/>
        <w:autoSpaceDN w:val="0"/>
        <w:adjustRightInd w:val="0"/>
        <w:ind w:left="720" w:hanging="720"/>
      </w:pPr>
    </w:p>
    <w:p w14:paraId="1EB5D493" w14:textId="77777777" w:rsidR="00247601" w:rsidRDefault="00247601" w:rsidP="00DB0B72">
      <w:pPr>
        <w:widowControl w:val="0"/>
        <w:autoSpaceDE w:val="0"/>
        <w:autoSpaceDN w:val="0"/>
        <w:adjustRightInd w:val="0"/>
        <w:ind w:left="720"/>
      </w:pPr>
      <w:r>
        <w:t>Since 0.5 tons of water treatment lime sludge is approxi</w:t>
      </w:r>
      <w:r w:rsidR="00DB0B72">
        <w:t xml:space="preserve">mately equivalent to 1.0 ton of </w:t>
      </w:r>
      <w:r>
        <w:t xml:space="preserve">typical agricultural lime (calculated in II. above) apply only 3 dry tons of water treatment plant lime sludge per acre of farm land. </w:t>
      </w:r>
    </w:p>
    <w:p w14:paraId="40A8CBEA" w14:textId="77777777" w:rsidR="00803457" w:rsidRDefault="00803457" w:rsidP="00DB0B72">
      <w:pPr>
        <w:widowControl w:val="0"/>
        <w:autoSpaceDE w:val="0"/>
        <w:autoSpaceDN w:val="0"/>
        <w:adjustRightInd w:val="0"/>
        <w:ind w:left="720"/>
      </w:pPr>
    </w:p>
    <w:p w14:paraId="26A3B8E9" w14:textId="77777777" w:rsidR="00DB0B72" w:rsidRDefault="00247601" w:rsidP="00DB0B72">
      <w:pPr>
        <w:widowControl w:val="0"/>
        <w:autoSpaceDE w:val="0"/>
        <w:autoSpaceDN w:val="0"/>
        <w:adjustRightInd w:val="0"/>
        <w:ind w:left="720"/>
      </w:pPr>
      <w:r>
        <w:t>Similar metal loading rates as calculated in APPENDIX D should then be performed based</w:t>
      </w:r>
      <w:r w:rsidR="00DB0B72">
        <w:t xml:space="preserve"> on the 3 dry ton loading rate.</w:t>
      </w:r>
    </w:p>
    <w:p w14:paraId="71F98182" w14:textId="77777777" w:rsidR="00803457" w:rsidRDefault="00803457" w:rsidP="00DB0B72">
      <w:pPr>
        <w:widowControl w:val="0"/>
        <w:autoSpaceDE w:val="0"/>
        <w:autoSpaceDN w:val="0"/>
        <w:adjustRightInd w:val="0"/>
        <w:ind w:left="720"/>
      </w:pPr>
    </w:p>
    <w:p w14:paraId="0BEA4148" w14:textId="77777777" w:rsidR="00247601" w:rsidRDefault="00247601" w:rsidP="00DB0B72">
      <w:pPr>
        <w:widowControl w:val="0"/>
        <w:autoSpaceDE w:val="0"/>
        <w:autoSpaceDN w:val="0"/>
        <w:adjustRightInd w:val="0"/>
        <w:ind w:left="720"/>
      </w:pPr>
      <w:r>
        <w:t>Note that due to the fineness efficiency of 100, the water treatment plant lime sludge may only be effective in raising the soil pH for one or two years after application. Suggested limestone rates based on soil type, pH, and cropping system.</w:t>
      </w:r>
    </w:p>
    <w:p w14:paraId="34D70DBF" w14:textId="77777777" w:rsidR="00C711FC" w:rsidRDefault="00C711FC" w:rsidP="00DB0B72">
      <w:pPr>
        <w:widowControl w:val="0"/>
        <w:autoSpaceDE w:val="0"/>
        <w:autoSpaceDN w:val="0"/>
        <w:adjustRightInd w:val="0"/>
        <w:ind w:left="720"/>
      </w:pPr>
    </w:p>
    <w:p w14:paraId="393720C5" w14:textId="77777777" w:rsidR="00C711FC" w:rsidRDefault="00C711FC" w:rsidP="00DB0B72">
      <w:pPr>
        <w:widowControl w:val="0"/>
        <w:autoSpaceDE w:val="0"/>
        <w:autoSpaceDN w:val="0"/>
        <w:adjustRightInd w:val="0"/>
        <w:ind w:left="720"/>
      </w:pPr>
      <w:r>
        <w:br w:type="page"/>
      </w:r>
    </w:p>
    <w:p w14:paraId="12F0EAE1" w14:textId="77777777" w:rsidR="00C711FC" w:rsidRDefault="00C711FC" w:rsidP="00DB0B72">
      <w:pPr>
        <w:widowControl w:val="0"/>
        <w:autoSpaceDE w:val="0"/>
        <w:autoSpaceDN w:val="0"/>
        <w:adjustRightInd w:val="0"/>
        <w:ind w:left="720"/>
      </w:pPr>
      <w:r>
        <w:t>Suggested limestone rates based on soil type, pH, and cropping system.</w:t>
      </w:r>
    </w:p>
    <w:p w14:paraId="3F6F6DE4" w14:textId="77777777" w:rsidR="00C711FC" w:rsidRDefault="00C711FC" w:rsidP="00DB0B72">
      <w:pPr>
        <w:widowControl w:val="0"/>
        <w:autoSpaceDE w:val="0"/>
        <w:autoSpaceDN w:val="0"/>
        <w:adjustRightInd w:val="0"/>
        <w:ind w:left="720"/>
      </w:pPr>
    </w:p>
    <w:p w14:paraId="30D7877D" w14:textId="77777777" w:rsidR="00C711FC" w:rsidRDefault="00C711FC" w:rsidP="00C711FC">
      <w:pPr>
        <w:widowControl w:val="0"/>
        <w:autoSpaceDE w:val="0"/>
        <w:autoSpaceDN w:val="0"/>
        <w:adjustRightInd w:val="0"/>
        <w:ind w:left="720"/>
        <w:jc w:val="center"/>
      </w:pPr>
      <w:r>
        <w:t>(Taken from Illinois Agronomy Handbook)</w:t>
      </w:r>
    </w:p>
    <w:p w14:paraId="5775A113" w14:textId="77777777" w:rsidR="00C711FC" w:rsidRDefault="00C711FC" w:rsidP="00C711FC">
      <w:pPr>
        <w:widowControl w:val="0"/>
        <w:autoSpaceDE w:val="0"/>
        <w:autoSpaceDN w:val="0"/>
        <w:adjustRightInd w:val="0"/>
        <w:ind w:left="720"/>
        <w:jc w:val="center"/>
      </w:pPr>
    </w:p>
    <w:p w14:paraId="56B12780" w14:textId="77777777" w:rsidR="00C711FC" w:rsidRDefault="00C711FC" w:rsidP="00C711FC">
      <w:pPr>
        <w:widowControl w:val="0"/>
        <w:autoSpaceDE w:val="0"/>
        <w:autoSpaceDN w:val="0"/>
        <w:adjustRightInd w:val="0"/>
        <w:ind w:left="720"/>
      </w:pPr>
      <w:r>
        <w:t>CHART I</w:t>
      </w:r>
    </w:p>
    <w:p w14:paraId="65452BEB" w14:textId="77777777" w:rsidR="00C711FC" w:rsidRDefault="00C711FC" w:rsidP="00C711FC">
      <w:pPr>
        <w:widowControl w:val="0"/>
        <w:autoSpaceDE w:val="0"/>
        <w:autoSpaceDN w:val="0"/>
        <w:adjustRightInd w:val="0"/>
        <w:ind w:left="720"/>
      </w:pPr>
    </w:p>
    <w:p w14:paraId="29B2CF15" w14:textId="77777777" w:rsidR="00C711FC" w:rsidRDefault="00C711FC" w:rsidP="00C711FC">
      <w:pPr>
        <w:widowControl w:val="0"/>
        <w:autoSpaceDE w:val="0"/>
        <w:autoSpaceDN w:val="0"/>
        <w:adjustRightInd w:val="0"/>
        <w:ind w:left="720"/>
      </w:pPr>
      <w:r>
        <w:t>GRAIN FARMING SYSTEMS</w:t>
      </w:r>
    </w:p>
    <w:p w14:paraId="4BBF2402" w14:textId="77777777" w:rsidR="00C711FC" w:rsidRDefault="00C711FC" w:rsidP="00DB0B72">
      <w:pPr>
        <w:widowControl w:val="0"/>
        <w:autoSpaceDE w:val="0"/>
        <w:autoSpaceDN w:val="0"/>
        <w:adjustRightInd w:val="0"/>
        <w:ind w:left="720"/>
      </w:pPr>
    </w:p>
    <w:p w14:paraId="7ED53039" w14:textId="77777777" w:rsidR="00C711FC" w:rsidRDefault="00C711FC" w:rsidP="00DB0B72">
      <w:pPr>
        <w:widowControl w:val="0"/>
        <w:autoSpaceDE w:val="0"/>
        <w:autoSpaceDN w:val="0"/>
        <w:adjustRightInd w:val="0"/>
        <w:ind w:left="720"/>
      </w:pPr>
    </w:p>
    <w:p w14:paraId="53A7F032" w14:textId="77777777" w:rsidR="00C711FC" w:rsidRDefault="00543E92" w:rsidP="00247601">
      <w:pPr>
        <w:widowControl w:val="0"/>
        <w:autoSpaceDE w:val="0"/>
        <w:autoSpaceDN w:val="0"/>
        <w:adjustRightInd w:val="0"/>
        <w:ind w:left="1440" w:hanging="720"/>
        <w:jc w:val="center"/>
      </w:pPr>
      <w:r>
        <w:object w:dxaOrig="8714" w:dyaOrig="8417" w14:anchorId="1B93B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4pt;height:421.15pt" o:ole="">
            <v:imagedata r:id="rId4" o:title=""/>
          </v:shape>
          <o:OLEObject Type="Embed" ProgID="Word.Document.8" ShapeID="_x0000_i1025" DrawAspect="Content" ObjectID="_1834663963" r:id="rId5">
            <o:FieldCodes>\s</o:FieldCodes>
          </o:OLEObject>
        </w:object>
      </w:r>
    </w:p>
    <w:p w14:paraId="6CB680CF" w14:textId="77777777" w:rsidR="00C711FC" w:rsidRDefault="00C711FC" w:rsidP="00C711FC">
      <w:pPr>
        <w:widowControl w:val="0"/>
        <w:autoSpaceDE w:val="0"/>
        <w:autoSpaceDN w:val="0"/>
        <w:adjustRightInd w:val="0"/>
        <w:ind w:left="1440" w:hanging="720"/>
        <w:jc w:val="center"/>
      </w:pPr>
      <w:r>
        <w:br w:type="page"/>
      </w:r>
      <w:r>
        <w:lastRenderedPageBreak/>
        <w:t>CHART II</w:t>
      </w:r>
    </w:p>
    <w:p w14:paraId="30786C74" w14:textId="77777777" w:rsidR="00C711FC" w:rsidRDefault="00C711FC" w:rsidP="00C711FC">
      <w:pPr>
        <w:widowControl w:val="0"/>
        <w:autoSpaceDE w:val="0"/>
        <w:autoSpaceDN w:val="0"/>
        <w:adjustRightInd w:val="0"/>
        <w:ind w:left="1440" w:hanging="720"/>
      </w:pPr>
    </w:p>
    <w:p w14:paraId="16E55D4F" w14:textId="77777777" w:rsidR="00C711FC" w:rsidRDefault="00C711FC" w:rsidP="00C711FC">
      <w:pPr>
        <w:widowControl w:val="0"/>
        <w:autoSpaceDE w:val="0"/>
        <w:autoSpaceDN w:val="0"/>
        <w:adjustRightInd w:val="0"/>
        <w:ind w:left="1440" w:hanging="720"/>
      </w:pPr>
      <w:r>
        <w:t>CROPPING SYSTEMS WITH</w:t>
      </w:r>
    </w:p>
    <w:p w14:paraId="783957E4" w14:textId="77777777" w:rsidR="00C711FC" w:rsidRDefault="00C711FC" w:rsidP="00C711FC">
      <w:pPr>
        <w:widowControl w:val="0"/>
        <w:autoSpaceDE w:val="0"/>
        <w:autoSpaceDN w:val="0"/>
        <w:adjustRightInd w:val="0"/>
        <w:ind w:left="1440" w:hanging="720"/>
      </w:pPr>
      <w:r>
        <w:t>ALFALFA, CLOVER OR</w:t>
      </w:r>
    </w:p>
    <w:p w14:paraId="4AEDCEDF" w14:textId="77777777" w:rsidR="00C711FC" w:rsidRDefault="00C711FC" w:rsidP="00C711FC">
      <w:pPr>
        <w:widowControl w:val="0"/>
        <w:autoSpaceDE w:val="0"/>
        <w:autoSpaceDN w:val="0"/>
        <w:adjustRightInd w:val="0"/>
        <w:ind w:left="1440" w:hanging="720"/>
      </w:pPr>
      <w:r>
        <w:t>LESPEDEZA</w:t>
      </w:r>
    </w:p>
    <w:p w14:paraId="20262365" w14:textId="77777777" w:rsidR="00C711FC" w:rsidRDefault="00C711FC" w:rsidP="00C711FC">
      <w:pPr>
        <w:widowControl w:val="0"/>
        <w:autoSpaceDE w:val="0"/>
        <w:autoSpaceDN w:val="0"/>
        <w:adjustRightInd w:val="0"/>
        <w:ind w:left="1440" w:hanging="720"/>
      </w:pPr>
    </w:p>
    <w:p w14:paraId="7228A01F" w14:textId="77777777" w:rsidR="00247601" w:rsidRDefault="00543E92" w:rsidP="00247601">
      <w:pPr>
        <w:widowControl w:val="0"/>
        <w:autoSpaceDE w:val="0"/>
        <w:autoSpaceDN w:val="0"/>
        <w:adjustRightInd w:val="0"/>
        <w:ind w:left="1440" w:hanging="720"/>
        <w:jc w:val="center"/>
      </w:pPr>
      <w:r>
        <w:object w:dxaOrig="8820" w:dyaOrig="8323" w14:anchorId="0D8FC90D">
          <v:shape id="_x0000_i1026" type="#_x0000_t75" style="width:440.85pt;height:416.4pt" o:ole="">
            <v:imagedata r:id="rId6" o:title=""/>
          </v:shape>
          <o:OLEObject Type="Embed" ProgID="Word.Document.8" ShapeID="_x0000_i1026" DrawAspect="Content" ObjectID="_1834663964" r:id="rId7">
            <o:FieldCodes>\s</o:FieldCodes>
          </o:OLEObject>
        </w:object>
      </w:r>
    </w:p>
    <w:sectPr w:rsidR="00247601" w:rsidSect="00523A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7601"/>
    <w:rsid w:val="00170095"/>
    <w:rsid w:val="0021615C"/>
    <w:rsid w:val="00247601"/>
    <w:rsid w:val="002C65A8"/>
    <w:rsid w:val="00380DD5"/>
    <w:rsid w:val="004E1A19"/>
    <w:rsid w:val="00523AFC"/>
    <w:rsid w:val="00543E92"/>
    <w:rsid w:val="005C3366"/>
    <w:rsid w:val="00803457"/>
    <w:rsid w:val="008101C4"/>
    <w:rsid w:val="00A6475E"/>
    <w:rsid w:val="00A915E4"/>
    <w:rsid w:val="00BF08E1"/>
    <w:rsid w:val="00C711FC"/>
    <w:rsid w:val="00CE036C"/>
    <w:rsid w:val="00DB0B72"/>
    <w:rsid w:val="00E0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62571E0C"/>
  <w15:docId w15:val="{F6F5FC58-8D21-4433-9C3F-CB48A69C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1.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oleObject" Target="embeddings/Microsoft_Word_97_-_2003_Document.doc"/><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2003-03-21T20:36:00Z</cp:lastPrinted>
  <dcterms:created xsi:type="dcterms:W3CDTF">2012-06-21T20:50:00Z</dcterms:created>
  <dcterms:modified xsi:type="dcterms:W3CDTF">2026-03-10T21:06:00Z</dcterms:modified>
</cp:coreProperties>
</file>