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4DE" w:rsidRDefault="004514DE" w:rsidP="004514DE">
      <w:pPr>
        <w:widowControl w:val="0"/>
        <w:autoSpaceDE w:val="0"/>
        <w:autoSpaceDN w:val="0"/>
        <w:adjustRightInd w:val="0"/>
      </w:pPr>
      <w:bookmarkStart w:id="0" w:name="_GoBack"/>
      <w:bookmarkEnd w:id="0"/>
    </w:p>
    <w:p w:rsidR="004514DE" w:rsidRDefault="004514DE" w:rsidP="004514DE">
      <w:pPr>
        <w:widowControl w:val="0"/>
        <w:autoSpaceDE w:val="0"/>
        <w:autoSpaceDN w:val="0"/>
        <w:adjustRightInd w:val="0"/>
      </w:pPr>
      <w:r>
        <w:rPr>
          <w:b/>
          <w:bCs/>
        </w:rPr>
        <w:t>Section 375.302  Control Alternatives</w:t>
      </w:r>
      <w:r>
        <w:t xml:space="preserve"> </w:t>
      </w:r>
    </w:p>
    <w:p w:rsidR="004514DE" w:rsidRDefault="004514DE" w:rsidP="004514DE">
      <w:pPr>
        <w:widowControl w:val="0"/>
        <w:autoSpaceDE w:val="0"/>
        <w:autoSpaceDN w:val="0"/>
        <w:adjustRightInd w:val="0"/>
      </w:pPr>
    </w:p>
    <w:p w:rsidR="004514DE" w:rsidRDefault="004514DE" w:rsidP="004514DE">
      <w:pPr>
        <w:widowControl w:val="0"/>
        <w:autoSpaceDE w:val="0"/>
        <w:autoSpaceDN w:val="0"/>
        <w:adjustRightInd w:val="0"/>
      </w:pPr>
      <w:r>
        <w:t xml:space="preserve">Alternatives resulting in noncompliance with existing water quality standards and requiring regulatory relaxation of water quality standards may also be considered by the discharger. Water quality revisions being considered shall be consistent with the purpose and objectives of the Act and the CWA. </w:t>
      </w:r>
    </w:p>
    <w:sectPr w:rsidR="004514DE" w:rsidSect="004514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14DE"/>
    <w:rsid w:val="002B66BB"/>
    <w:rsid w:val="004514DE"/>
    <w:rsid w:val="005C3366"/>
    <w:rsid w:val="00901DC1"/>
    <w:rsid w:val="00EA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