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4F6" w:rsidRDefault="007A34F6" w:rsidP="007A34F6">
      <w:pPr>
        <w:widowControl w:val="0"/>
        <w:autoSpaceDE w:val="0"/>
        <w:autoSpaceDN w:val="0"/>
        <w:adjustRightInd w:val="0"/>
      </w:pPr>
      <w:bookmarkStart w:id="0" w:name="_GoBack"/>
      <w:bookmarkEnd w:id="0"/>
    </w:p>
    <w:p w:rsidR="007A34F6" w:rsidRDefault="007A34F6" w:rsidP="007A34F6">
      <w:pPr>
        <w:widowControl w:val="0"/>
        <w:autoSpaceDE w:val="0"/>
        <w:autoSpaceDN w:val="0"/>
        <w:adjustRightInd w:val="0"/>
      </w:pPr>
      <w:r>
        <w:rPr>
          <w:b/>
          <w:bCs/>
        </w:rPr>
        <w:t>Section 375.205  Special Analysis for Congested Areas</w:t>
      </w:r>
      <w:r>
        <w:t xml:space="preserve"> </w:t>
      </w:r>
    </w:p>
    <w:p w:rsidR="007A34F6" w:rsidRDefault="007A34F6" w:rsidP="007A34F6">
      <w:pPr>
        <w:widowControl w:val="0"/>
        <w:autoSpaceDE w:val="0"/>
        <w:autoSpaceDN w:val="0"/>
        <w:adjustRightInd w:val="0"/>
      </w:pPr>
    </w:p>
    <w:p w:rsidR="007A34F6" w:rsidRDefault="007A34F6" w:rsidP="007A34F6">
      <w:pPr>
        <w:widowControl w:val="0"/>
        <w:autoSpaceDE w:val="0"/>
        <w:autoSpaceDN w:val="0"/>
        <w:adjustRightInd w:val="0"/>
      </w:pPr>
      <w:r>
        <w:t xml:space="preserve">In small drainage basins receiving combined sewer overflows from collection systems belonging to several separate governing bodies the significance of the aggregate CSO load may well dictate a basin wide evaluation of alternate control levels in lieu of community by community evaluation. Resolution of CSO issues in such basins may require evaluation of all CSO sources concurrently with cooperative data collection efforts involving several communities.  This is especially applicable in major metropolitan areas. </w:t>
      </w:r>
    </w:p>
    <w:sectPr w:rsidR="007A34F6" w:rsidSect="007A34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34F6"/>
    <w:rsid w:val="00042BF4"/>
    <w:rsid w:val="004222BD"/>
    <w:rsid w:val="005C3366"/>
    <w:rsid w:val="007A34F6"/>
    <w:rsid w:val="00C92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2012-06-21T20:46:00Z</dcterms:created>
  <dcterms:modified xsi:type="dcterms:W3CDTF">2012-06-21T20:46:00Z</dcterms:modified>
</cp:coreProperties>
</file>