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C1F" w:rsidRDefault="00CC20D9" w:rsidP="00FF3C1F">
      <w:pPr>
        <w:widowControl w:val="0"/>
        <w:autoSpaceDE w:val="0"/>
        <w:autoSpaceDN w:val="0"/>
        <w:adjustRightInd w:val="0"/>
      </w:pPr>
      <w:bookmarkStart w:id="0" w:name="_GoBack"/>
      <w:bookmarkEnd w:id="0"/>
      <w:r>
        <w:rPr>
          <w:b/>
          <w:bCs/>
        </w:rPr>
        <w:br w:type="page"/>
      </w:r>
      <w:r w:rsidR="00FF3C1F">
        <w:rPr>
          <w:b/>
          <w:bCs/>
        </w:rPr>
        <w:t xml:space="preserve">Section 373.APPENDIX B  </w:t>
      </w:r>
      <w:r w:rsidR="004F7E7B">
        <w:rPr>
          <w:b/>
          <w:bCs/>
        </w:rPr>
        <w:t xml:space="preserve"> </w:t>
      </w:r>
      <w:r w:rsidR="00FF3C1F">
        <w:rPr>
          <w:b/>
          <w:bCs/>
        </w:rPr>
        <w:t>Modified Streeter-Phelps Equation</w:t>
      </w:r>
      <w:r w:rsidR="00FF3C1F">
        <w:t xml:space="preserve"> </w:t>
      </w:r>
    </w:p>
    <w:p w:rsidR="00FF3C1F" w:rsidRDefault="00FF3C1F" w:rsidP="00FF3C1F">
      <w:pPr>
        <w:widowControl w:val="0"/>
        <w:autoSpaceDE w:val="0"/>
        <w:autoSpaceDN w:val="0"/>
        <w:adjustRightInd w:val="0"/>
      </w:pPr>
    </w:p>
    <w:p w:rsidR="00FF3C1F" w:rsidRDefault="00FF3C1F" w:rsidP="00FF3C1F">
      <w:pPr>
        <w:widowControl w:val="0"/>
        <w:autoSpaceDE w:val="0"/>
        <w:autoSpaceDN w:val="0"/>
        <w:adjustRightInd w:val="0"/>
      </w:pPr>
      <w:r>
        <w:t xml:space="preserve">The Modified Streeter-Phelps Equation mathematically defines the relationship between carbonaceous oxygen demand, nitrogenous oxygen demand, natural stream reaeration and the dissolved oxygen deficit as a function of time: </w:t>
      </w:r>
    </w:p>
    <w:p w:rsidR="00FF3C1F" w:rsidRDefault="00FF3C1F" w:rsidP="00FF3C1F">
      <w:pPr>
        <w:widowControl w:val="0"/>
        <w:autoSpaceDE w:val="0"/>
        <w:autoSpaceDN w:val="0"/>
        <w:adjustRightInd w:val="0"/>
      </w:pPr>
    </w:p>
    <w:tbl>
      <w:tblPr>
        <w:tblW w:w="0" w:type="auto"/>
        <w:tblInd w:w="735" w:type="dxa"/>
        <w:tblLayout w:type="fixed"/>
        <w:tblLook w:val="0000" w:firstRow="0" w:lastRow="0" w:firstColumn="0" w:lastColumn="0" w:noHBand="0" w:noVBand="0"/>
      </w:tblPr>
      <w:tblGrid>
        <w:gridCol w:w="399"/>
        <w:gridCol w:w="236"/>
        <w:gridCol w:w="733"/>
        <w:gridCol w:w="236"/>
        <w:gridCol w:w="236"/>
        <w:gridCol w:w="497"/>
        <w:gridCol w:w="285"/>
        <w:gridCol w:w="236"/>
        <w:gridCol w:w="448"/>
        <w:gridCol w:w="236"/>
      </w:tblGrid>
      <w:tr w:rsidR="00035F4F">
        <w:tblPrEx>
          <w:tblCellMar>
            <w:top w:w="0" w:type="dxa"/>
            <w:bottom w:w="0" w:type="dxa"/>
          </w:tblCellMar>
        </w:tblPrEx>
        <w:tc>
          <w:tcPr>
            <w:tcW w:w="399" w:type="dxa"/>
            <w:vMerge w:val="restart"/>
            <w:vAlign w:val="center"/>
          </w:tcPr>
          <w:p w:rsidR="00035F4F" w:rsidRDefault="00035F4F" w:rsidP="00FF3C1F">
            <w:pPr>
              <w:widowControl w:val="0"/>
              <w:autoSpaceDE w:val="0"/>
              <w:autoSpaceDN w:val="0"/>
              <w:adjustRightInd w:val="0"/>
            </w:pPr>
            <w:r>
              <w:t>D</w:t>
            </w:r>
          </w:p>
        </w:tc>
        <w:tc>
          <w:tcPr>
            <w:tcW w:w="236" w:type="dxa"/>
            <w:vMerge w:val="restart"/>
            <w:vAlign w:val="center"/>
          </w:tcPr>
          <w:p w:rsidR="00035F4F" w:rsidRDefault="00035F4F" w:rsidP="00770C65">
            <w:pPr>
              <w:widowControl w:val="0"/>
              <w:autoSpaceDE w:val="0"/>
              <w:autoSpaceDN w:val="0"/>
              <w:adjustRightInd w:val="0"/>
              <w:ind w:right="-93" w:hanging="108"/>
            </w:pPr>
            <w:r>
              <w:t>=</w:t>
            </w:r>
          </w:p>
        </w:tc>
        <w:tc>
          <w:tcPr>
            <w:tcW w:w="733" w:type="dxa"/>
            <w:tcBorders>
              <w:bottom w:val="single" w:sz="4" w:space="0" w:color="auto"/>
            </w:tcBorders>
            <w:vAlign w:val="bottom"/>
          </w:tcPr>
          <w:p w:rsidR="00035F4F" w:rsidRPr="00FA48BF" w:rsidRDefault="00035F4F" w:rsidP="00035F4F">
            <w:pPr>
              <w:widowControl w:val="0"/>
              <w:autoSpaceDE w:val="0"/>
              <w:autoSpaceDN w:val="0"/>
              <w:adjustRightInd w:val="0"/>
              <w:ind w:left="-116" w:right="-108"/>
              <w:jc w:val="center"/>
            </w:pPr>
            <w:r>
              <w:t>K</w:t>
            </w:r>
            <w:r w:rsidRPr="00FA48BF">
              <w:rPr>
                <w:vertAlign w:val="subscript"/>
              </w:rPr>
              <w:t>c</w:t>
            </w:r>
            <w:r>
              <w:t>L</w:t>
            </w:r>
            <w:r w:rsidRPr="00FA48BF">
              <w:rPr>
                <w:vertAlign w:val="subscript"/>
              </w:rPr>
              <w:t>ac</w:t>
            </w:r>
          </w:p>
        </w:tc>
        <w:tc>
          <w:tcPr>
            <w:tcW w:w="236" w:type="dxa"/>
            <w:vMerge w:val="restart"/>
            <w:vAlign w:val="center"/>
          </w:tcPr>
          <w:p w:rsidR="00035F4F" w:rsidRPr="00035F4F" w:rsidRDefault="00035F4F" w:rsidP="00035F4F">
            <w:pPr>
              <w:widowControl w:val="0"/>
              <w:autoSpaceDE w:val="0"/>
              <w:autoSpaceDN w:val="0"/>
              <w:adjustRightInd w:val="0"/>
              <w:ind w:left="-216" w:right="-99" w:hanging="6"/>
              <w:jc w:val="right"/>
              <w:rPr>
                <w:rFonts w:ascii="Helvetica Condensed" w:hAnsi="Helvetica Condensed" w:cs="Helvetica Condensed"/>
                <w:sz w:val="48"/>
                <w:szCs w:val="48"/>
              </w:rPr>
            </w:pPr>
            <w:r w:rsidRPr="00035F4F">
              <w:rPr>
                <w:rFonts w:ascii="Helvetica Condensed" w:hAnsi="Helvetica Condensed" w:cs="Helvetica Condensed"/>
                <w:sz w:val="48"/>
                <w:szCs w:val="48"/>
              </w:rPr>
              <w:t>(</w:t>
            </w:r>
          </w:p>
        </w:tc>
        <w:tc>
          <w:tcPr>
            <w:tcW w:w="236" w:type="dxa"/>
            <w:vMerge w:val="restart"/>
            <w:vAlign w:val="center"/>
          </w:tcPr>
          <w:p w:rsidR="00035F4F" w:rsidRDefault="00035F4F" w:rsidP="00035F4F">
            <w:pPr>
              <w:widowControl w:val="0"/>
              <w:autoSpaceDE w:val="0"/>
              <w:autoSpaceDN w:val="0"/>
              <w:adjustRightInd w:val="0"/>
              <w:ind w:left="-117" w:right="-105"/>
              <w:jc w:val="right"/>
            </w:pPr>
            <w:r>
              <w:t>e</w:t>
            </w:r>
          </w:p>
        </w:tc>
        <w:tc>
          <w:tcPr>
            <w:tcW w:w="497" w:type="dxa"/>
            <w:vAlign w:val="bottom"/>
          </w:tcPr>
          <w:p w:rsidR="00035F4F" w:rsidRDefault="00035F4F" w:rsidP="00C13017">
            <w:pPr>
              <w:widowControl w:val="0"/>
              <w:autoSpaceDE w:val="0"/>
              <w:autoSpaceDN w:val="0"/>
              <w:adjustRightInd w:val="0"/>
              <w:ind w:left="-141" w:right="-90" w:firstLine="31"/>
            </w:pPr>
            <w:r>
              <w:t>-</w:t>
            </w:r>
            <w:r w:rsidRPr="00035F4F">
              <w:rPr>
                <w:sz w:val="20"/>
                <w:szCs w:val="20"/>
              </w:rPr>
              <w:t>K</w:t>
            </w:r>
            <w:r w:rsidRPr="00035F4F">
              <w:rPr>
                <w:sz w:val="20"/>
                <w:szCs w:val="20"/>
                <w:vertAlign w:val="subscript"/>
              </w:rPr>
              <w:t>c</w:t>
            </w:r>
            <w:r w:rsidRPr="00035F4F">
              <w:rPr>
                <w:sz w:val="20"/>
                <w:szCs w:val="20"/>
              </w:rPr>
              <w:t>t</w:t>
            </w:r>
          </w:p>
        </w:tc>
        <w:tc>
          <w:tcPr>
            <w:tcW w:w="285" w:type="dxa"/>
            <w:vMerge w:val="restart"/>
            <w:vAlign w:val="center"/>
          </w:tcPr>
          <w:p w:rsidR="00035F4F" w:rsidRDefault="00035F4F" w:rsidP="00035F4F">
            <w:pPr>
              <w:widowControl w:val="0"/>
              <w:autoSpaceDE w:val="0"/>
              <w:autoSpaceDN w:val="0"/>
              <w:adjustRightInd w:val="0"/>
              <w:ind w:left="-90" w:right="-78" w:hanging="15"/>
              <w:jc w:val="center"/>
            </w:pPr>
            <w:r>
              <w:t>-</w:t>
            </w:r>
          </w:p>
        </w:tc>
        <w:tc>
          <w:tcPr>
            <w:tcW w:w="236" w:type="dxa"/>
            <w:vMerge w:val="restart"/>
            <w:vAlign w:val="center"/>
          </w:tcPr>
          <w:p w:rsidR="00035F4F" w:rsidRDefault="00035F4F" w:rsidP="00035F4F">
            <w:pPr>
              <w:widowControl w:val="0"/>
              <w:autoSpaceDE w:val="0"/>
              <w:autoSpaceDN w:val="0"/>
              <w:adjustRightInd w:val="0"/>
              <w:ind w:left="-90" w:right="-78" w:hanging="15"/>
              <w:jc w:val="right"/>
            </w:pPr>
            <w:r>
              <w:t>e</w:t>
            </w:r>
          </w:p>
        </w:tc>
        <w:tc>
          <w:tcPr>
            <w:tcW w:w="448" w:type="dxa"/>
            <w:vAlign w:val="bottom"/>
          </w:tcPr>
          <w:p w:rsidR="00035F4F" w:rsidRDefault="00035F4F" w:rsidP="00C13017">
            <w:pPr>
              <w:widowControl w:val="0"/>
              <w:autoSpaceDE w:val="0"/>
              <w:autoSpaceDN w:val="0"/>
              <w:adjustRightInd w:val="0"/>
              <w:ind w:left="-120" w:right="-113"/>
            </w:pPr>
            <w:r>
              <w:t>-</w:t>
            </w:r>
            <w:r w:rsidRPr="00035F4F">
              <w:rPr>
                <w:sz w:val="20"/>
                <w:szCs w:val="20"/>
              </w:rPr>
              <w:t>K</w:t>
            </w:r>
            <w:r w:rsidRPr="00035F4F">
              <w:rPr>
                <w:sz w:val="20"/>
                <w:szCs w:val="20"/>
                <w:vertAlign w:val="subscript"/>
              </w:rPr>
              <w:t>2</w:t>
            </w:r>
            <w:r w:rsidRPr="00035F4F">
              <w:rPr>
                <w:sz w:val="20"/>
                <w:szCs w:val="20"/>
              </w:rPr>
              <w:t>t</w:t>
            </w:r>
          </w:p>
        </w:tc>
        <w:tc>
          <w:tcPr>
            <w:tcW w:w="236" w:type="dxa"/>
            <w:vMerge w:val="restart"/>
            <w:vAlign w:val="center"/>
          </w:tcPr>
          <w:p w:rsidR="00035F4F" w:rsidRPr="00035F4F" w:rsidRDefault="00035F4F" w:rsidP="00EC3987">
            <w:pPr>
              <w:widowControl w:val="0"/>
              <w:autoSpaceDE w:val="0"/>
              <w:autoSpaceDN w:val="0"/>
              <w:adjustRightInd w:val="0"/>
              <w:ind w:hanging="90"/>
              <w:rPr>
                <w:rFonts w:ascii="Helvetica Condensed" w:hAnsi="Helvetica Condensed" w:cs="Helvetica Condensed"/>
                <w:sz w:val="48"/>
                <w:szCs w:val="48"/>
              </w:rPr>
            </w:pPr>
            <w:r w:rsidRPr="00035F4F">
              <w:rPr>
                <w:rFonts w:ascii="Helvetica Condensed" w:hAnsi="Helvetica Condensed" w:cs="Helvetica Condensed"/>
                <w:sz w:val="48"/>
                <w:szCs w:val="48"/>
              </w:rPr>
              <w:t>)</w:t>
            </w:r>
          </w:p>
        </w:tc>
      </w:tr>
      <w:tr w:rsidR="00035F4F">
        <w:tblPrEx>
          <w:tblCellMar>
            <w:top w:w="0" w:type="dxa"/>
            <w:bottom w:w="0" w:type="dxa"/>
          </w:tblCellMar>
        </w:tblPrEx>
        <w:tc>
          <w:tcPr>
            <w:tcW w:w="399" w:type="dxa"/>
            <w:vMerge/>
          </w:tcPr>
          <w:p w:rsidR="00035F4F" w:rsidRDefault="00035F4F" w:rsidP="00FF3C1F">
            <w:pPr>
              <w:widowControl w:val="0"/>
              <w:autoSpaceDE w:val="0"/>
              <w:autoSpaceDN w:val="0"/>
              <w:adjustRightInd w:val="0"/>
            </w:pPr>
          </w:p>
        </w:tc>
        <w:tc>
          <w:tcPr>
            <w:tcW w:w="236" w:type="dxa"/>
            <w:vMerge/>
          </w:tcPr>
          <w:p w:rsidR="00035F4F" w:rsidRDefault="00035F4F" w:rsidP="00FF3C1F">
            <w:pPr>
              <w:widowControl w:val="0"/>
              <w:autoSpaceDE w:val="0"/>
              <w:autoSpaceDN w:val="0"/>
              <w:adjustRightInd w:val="0"/>
            </w:pPr>
          </w:p>
        </w:tc>
        <w:tc>
          <w:tcPr>
            <w:tcW w:w="733" w:type="dxa"/>
            <w:tcBorders>
              <w:top w:val="single" w:sz="4" w:space="0" w:color="auto"/>
            </w:tcBorders>
          </w:tcPr>
          <w:p w:rsidR="00035F4F" w:rsidRPr="00FA48BF" w:rsidRDefault="00035F4F" w:rsidP="00035F4F">
            <w:pPr>
              <w:widowControl w:val="0"/>
              <w:autoSpaceDE w:val="0"/>
              <w:autoSpaceDN w:val="0"/>
              <w:adjustRightInd w:val="0"/>
              <w:ind w:left="-116" w:right="-108"/>
              <w:jc w:val="center"/>
            </w:pPr>
            <w:r>
              <w:t>K</w:t>
            </w:r>
            <w:r w:rsidRPr="00FA48BF">
              <w:rPr>
                <w:vertAlign w:val="subscript"/>
              </w:rPr>
              <w:t>2</w:t>
            </w:r>
            <w:r>
              <w:t>-K</w:t>
            </w:r>
            <w:r w:rsidRPr="00FA48BF">
              <w:rPr>
                <w:vertAlign w:val="subscript"/>
              </w:rPr>
              <w:t>c</w:t>
            </w:r>
          </w:p>
        </w:tc>
        <w:tc>
          <w:tcPr>
            <w:tcW w:w="236" w:type="dxa"/>
            <w:vMerge/>
          </w:tcPr>
          <w:p w:rsidR="00035F4F" w:rsidRDefault="00035F4F" w:rsidP="00035F4F">
            <w:pPr>
              <w:widowControl w:val="0"/>
              <w:autoSpaceDE w:val="0"/>
              <w:autoSpaceDN w:val="0"/>
              <w:adjustRightInd w:val="0"/>
              <w:ind w:left="-216" w:right="-99" w:hanging="6"/>
              <w:jc w:val="center"/>
            </w:pPr>
          </w:p>
        </w:tc>
        <w:tc>
          <w:tcPr>
            <w:tcW w:w="236" w:type="dxa"/>
            <w:vMerge/>
          </w:tcPr>
          <w:p w:rsidR="00035F4F" w:rsidRDefault="00035F4F" w:rsidP="00035F4F">
            <w:pPr>
              <w:widowControl w:val="0"/>
              <w:autoSpaceDE w:val="0"/>
              <w:autoSpaceDN w:val="0"/>
              <w:adjustRightInd w:val="0"/>
              <w:ind w:left="-117" w:right="-105"/>
            </w:pPr>
          </w:p>
        </w:tc>
        <w:tc>
          <w:tcPr>
            <w:tcW w:w="497" w:type="dxa"/>
          </w:tcPr>
          <w:p w:rsidR="00035F4F" w:rsidRDefault="00035F4F" w:rsidP="00FF3C1F">
            <w:pPr>
              <w:widowControl w:val="0"/>
              <w:autoSpaceDE w:val="0"/>
              <w:autoSpaceDN w:val="0"/>
              <w:adjustRightInd w:val="0"/>
            </w:pPr>
          </w:p>
        </w:tc>
        <w:tc>
          <w:tcPr>
            <w:tcW w:w="285" w:type="dxa"/>
            <w:vMerge/>
          </w:tcPr>
          <w:p w:rsidR="00035F4F" w:rsidRDefault="00035F4F" w:rsidP="00035F4F">
            <w:pPr>
              <w:widowControl w:val="0"/>
              <w:autoSpaceDE w:val="0"/>
              <w:autoSpaceDN w:val="0"/>
              <w:adjustRightInd w:val="0"/>
              <w:ind w:left="-90"/>
              <w:jc w:val="center"/>
            </w:pPr>
          </w:p>
        </w:tc>
        <w:tc>
          <w:tcPr>
            <w:tcW w:w="236" w:type="dxa"/>
            <w:vMerge/>
          </w:tcPr>
          <w:p w:rsidR="00035F4F" w:rsidRDefault="00035F4F" w:rsidP="00035F4F">
            <w:pPr>
              <w:widowControl w:val="0"/>
              <w:autoSpaceDE w:val="0"/>
              <w:autoSpaceDN w:val="0"/>
              <w:adjustRightInd w:val="0"/>
              <w:jc w:val="center"/>
            </w:pPr>
          </w:p>
        </w:tc>
        <w:tc>
          <w:tcPr>
            <w:tcW w:w="448" w:type="dxa"/>
          </w:tcPr>
          <w:p w:rsidR="00035F4F" w:rsidRDefault="00035F4F" w:rsidP="00FF3C1F">
            <w:pPr>
              <w:widowControl w:val="0"/>
              <w:autoSpaceDE w:val="0"/>
              <w:autoSpaceDN w:val="0"/>
              <w:adjustRightInd w:val="0"/>
            </w:pPr>
          </w:p>
        </w:tc>
        <w:tc>
          <w:tcPr>
            <w:tcW w:w="236" w:type="dxa"/>
            <w:vMerge/>
          </w:tcPr>
          <w:p w:rsidR="00035F4F" w:rsidRDefault="00035F4F" w:rsidP="00FF3C1F">
            <w:pPr>
              <w:widowControl w:val="0"/>
              <w:autoSpaceDE w:val="0"/>
              <w:autoSpaceDN w:val="0"/>
              <w:adjustRightInd w:val="0"/>
            </w:pPr>
          </w:p>
        </w:tc>
      </w:tr>
    </w:tbl>
    <w:p w:rsidR="009966F0" w:rsidRDefault="009966F0" w:rsidP="00FF3C1F">
      <w:pPr>
        <w:widowControl w:val="0"/>
        <w:autoSpaceDE w:val="0"/>
        <w:autoSpaceDN w:val="0"/>
        <w:adjustRightInd w:val="0"/>
      </w:pPr>
    </w:p>
    <w:tbl>
      <w:tblPr>
        <w:tblW w:w="0" w:type="auto"/>
        <w:tblInd w:w="735" w:type="dxa"/>
        <w:tblLayout w:type="fixed"/>
        <w:tblLook w:val="0000" w:firstRow="0" w:lastRow="0" w:firstColumn="0" w:lastColumn="0" w:noHBand="0" w:noVBand="0"/>
      </w:tblPr>
      <w:tblGrid>
        <w:gridCol w:w="399"/>
        <w:gridCol w:w="236"/>
        <w:gridCol w:w="733"/>
        <w:gridCol w:w="236"/>
        <w:gridCol w:w="236"/>
        <w:gridCol w:w="725"/>
        <w:gridCol w:w="236"/>
        <w:gridCol w:w="236"/>
        <w:gridCol w:w="725"/>
        <w:gridCol w:w="236"/>
        <w:gridCol w:w="236"/>
        <w:gridCol w:w="383"/>
        <w:gridCol w:w="611"/>
      </w:tblGrid>
      <w:tr w:rsidR="006C17D3">
        <w:tblPrEx>
          <w:tblCellMar>
            <w:top w:w="0" w:type="dxa"/>
            <w:bottom w:w="0" w:type="dxa"/>
          </w:tblCellMar>
        </w:tblPrEx>
        <w:tc>
          <w:tcPr>
            <w:tcW w:w="399" w:type="dxa"/>
            <w:vMerge w:val="restart"/>
            <w:vAlign w:val="center"/>
          </w:tcPr>
          <w:p w:rsidR="006C17D3" w:rsidRDefault="006C17D3" w:rsidP="009955FC">
            <w:pPr>
              <w:widowControl w:val="0"/>
              <w:autoSpaceDE w:val="0"/>
              <w:autoSpaceDN w:val="0"/>
              <w:adjustRightInd w:val="0"/>
            </w:pPr>
          </w:p>
        </w:tc>
        <w:tc>
          <w:tcPr>
            <w:tcW w:w="236" w:type="dxa"/>
            <w:vMerge w:val="restart"/>
            <w:vAlign w:val="center"/>
          </w:tcPr>
          <w:p w:rsidR="006C17D3" w:rsidRDefault="006C17D3" w:rsidP="009955FC">
            <w:pPr>
              <w:widowControl w:val="0"/>
              <w:autoSpaceDE w:val="0"/>
              <w:autoSpaceDN w:val="0"/>
              <w:adjustRightInd w:val="0"/>
              <w:ind w:right="-93" w:hanging="108"/>
            </w:pPr>
            <w:r>
              <w:t>+</w:t>
            </w:r>
          </w:p>
        </w:tc>
        <w:tc>
          <w:tcPr>
            <w:tcW w:w="733" w:type="dxa"/>
            <w:tcBorders>
              <w:bottom w:val="single" w:sz="4" w:space="0" w:color="auto"/>
            </w:tcBorders>
            <w:vAlign w:val="bottom"/>
          </w:tcPr>
          <w:p w:rsidR="006C17D3" w:rsidRPr="00FA48BF" w:rsidRDefault="006C17D3" w:rsidP="009955FC">
            <w:pPr>
              <w:widowControl w:val="0"/>
              <w:autoSpaceDE w:val="0"/>
              <w:autoSpaceDN w:val="0"/>
              <w:adjustRightInd w:val="0"/>
              <w:ind w:left="-116" w:right="-108"/>
              <w:jc w:val="center"/>
            </w:pPr>
            <w:r>
              <w:t>K</w:t>
            </w:r>
            <w:r>
              <w:rPr>
                <w:vertAlign w:val="subscript"/>
              </w:rPr>
              <w:t>n</w:t>
            </w:r>
            <w:r>
              <w:t>L</w:t>
            </w:r>
            <w:r w:rsidRPr="00FA48BF">
              <w:rPr>
                <w:vertAlign w:val="subscript"/>
              </w:rPr>
              <w:t>a</w:t>
            </w:r>
            <w:r>
              <w:rPr>
                <w:vertAlign w:val="subscript"/>
              </w:rPr>
              <w:t>n</w:t>
            </w:r>
          </w:p>
        </w:tc>
        <w:tc>
          <w:tcPr>
            <w:tcW w:w="236" w:type="dxa"/>
            <w:vMerge w:val="restart"/>
            <w:vAlign w:val="center"/>
          </w:tcPr>
          <w:p w:rsidR="006C17D3" w:rsidRPr="00035F4F" w:rsidRDefault="006C17D3" w:rsidP="009955FC">
            <w:pPr>
              <w:widowControl w:val="0"/>
              <w:autoSpaceDE w:val="0"/>
              <w:autoSpaceDN w:val="0"/>
              <w:adjustRightInd w:val="0"/>
              <w:ind w:left="-216" w:right="-99" w:hanging="6"/>
              <w:jc w:val="right"/>
              <w:rPr>
                <w:rFonts w:ascii="Helvetica Condensed" w:hAnsi="Helvetica Condensed" w:cs="Helvetica Condensed"/>
                <w:sz w:val="48"/>
                <w:szCs w:val="48"/>
              </w:rPr>
            </w:pPr>
            <w:r w:rsidRPr="00035F4F">
              <w:rPr>
                <w:rFonts w:ascii="Helvetica Condensed" w:hAnsi="Helvetica Condensed" w:cs="Helvetica Condensed"/>
                <w:sz w:val="48"/>
                <w:szCs w:val="48"/>
              </w:rPr>
              <w:t>(</w:t>
            </w:r>
          </w:p>
        </w:tc>
        <w:tc>
          <w:tcPr>
            <w:tcW w:w="236" w:type="dxa"/>
            <w:vMerge w:val="restart"/>
            <w:vAlign w:val="center"/>
          </w:tcPr>
          <w:p w:rsidR="006C17D3" w:rsidRDefault="006C17D3" w:rsidP="009955FC">
            <w:pPr>
              <w:widowControl w:val="0"/>
              <w:autoSpaceDE w:val="0"/>
              <w:autoSpaceDN w:val="0"/>
              <w:adjustRightInd w:val="0"/>
              <w:ind w:left="-117" w:right="-105"/>
              <w:jc w:val="right"/>
            </w:pPr>
            <w:r>
              <w:t>e</w:t>
            </w:r>
          </w:p>
        </w:tc>
        <w:tc>
          <w:tcPr>
            <w:tcW w:w="725" w:type="dxa"/>
            <w:vAlign w:val="bottom"/>
          </w:tcPr>
          <w:p w:rsidR="006C17D3" w:rsidRDefault="006C17D3" w:rsidP="009955FC">
            <w:pPr>
              <w:widowControl w:val="0"/>
              <w:autoSpaceDE w:val="0"/>
              <w:autoSpaceDN w:val="0"/>
              <w:adjustRightInd w:val="0"/>
              <w:ind w:left="-141" w:right="-90" w:firstLine="31"/>
            </w:pPr>
            <w:r>
              <w:t>-</w:t>
            </w:r>
            <w:r w:rsidRPr="001A5435">
              <w:rPr>
                <w:sz w:val="20"/>
                <w:szCs w:val="20"/>
              </w:rPr>
              <w:t>K</w:t>
            </w:r>
            <w:r w:rsidRPr="001A5435">
              <w:rPr>
                <w:sz w:val="20"/>
                <w:szCs w:val="20"/>
                <w:vertAlign w:val="subscript"/>
              </w:rPr>
              <w:t>n</w:t>
            </w:r>
            <w:r>
              <w:rPr>
                <w:sz w:val="20"/>
                <w:szCs w:val="20"/>
              </w:rPr>
              <w:t>(</w:t>
            </w:r>
            <w:r w:rsidRPr="001A5435">
              <w:rPr>
                <w:sz w:val="20"/>
                <w:szCs w:val="20"/>
              </w:rPr>
              <w:t>t</w:t>
            </w:r>
            <w:r>
              <w:rPr>
                <w:sz w:val="20"/>
                <w:szCs w:val="20"/>
              </w:rPr>
              <w:t>-t</w:t>
            </w:r>
            <w:r>
              <w:rPr>
                <w:sz w:val="20"/>
                <w:szCs w:val="20"/>
                <w:vertAlign w:val="subscript"/>
              </w:rPr>
              <w:t>0</w:t>
            </w:r>
            <w:r>
              <w:rPr>
                <w:sz w:val="20"/>
                <w:szCs w:val="20"/>
              </w:rPr>
              <w:t>)</w:t>
            </w:r>
          </w:p>
        </w:tc>
        <w:tc>
          <w:tcPr>
            <w:tcW w:w="236" w:type="dxa"/>
            <w:vMerge w:val="restart"/>
            <w:vAlign w:val="center"/>
          </w:tcPr>
          <w:p w:rsidR="006C17D3" w:rsidRDefault="006C17D3" w:rsidP="009955FC">
            <w:pPr>
              <w:widowControl w:val="0"/>
              <w:autoSpaceDE w:val="0"/>
              <w:autoSpaceDN w:val="0"/>
              <w:adjustRightInd w:val="0"/>
              <w:ind w:left="-90" w:right="-78" w:hanging="15"/>
              <w:jc w:val="center"/>
            </w:pPr>
            <w:r>
              <w:t>-</w:t>
            </w:r>
          </w:p>
        </w:tc>
        <w:tc>
          <w:tcPr>
            <w:tcW w:w="236" w:type="dxa"/>
            <w:vMerge w:val="restart"/>
            <w:vAlign w:val="center"/>
          </w:tcPr>
          <w:p w:rsidR="006C17D3" w:rsidRDefault="006C17D3" w:rsidP="009955FC">
            <w:pPr>
              <w:widowControl w:val="0"/>
              <w:autoSpaceDE w:val="0"/>
              <w:autoSpaceDN w:val="0"/>
              <w:adjustRightInd w:val="0"/>
              <w:ind w:left="-90" w:right="-78" w:hanging="15"/>
              <w:jc w:val="right"/>
            </w:pPr>
            <w:r>
              <w:t>e</w:t>
            </w:r>
          </w:p>
        </w:tc>
        <w:tc>
          <w:tcPr>
            <w:tcW w:w="725" w:type="dxa"/>
            <w:vAlign w:val="bottom"/>
          </w:tcPr>
          <w:p w:rsidR="006C17D3" w:rsidRPr="001A5435" w:rsidRDefault="006C17D3" w:rsidP="009955FC">
            <w:pPr>
              <w:widowControl w:val="0"/>
              <w:autoSpaceDE w:val="0"/>
              <w:autoSpaceDN w:val="0"/>
              <w:adjustRightInd w:val="0"/>
              <w:ind w:left="-120" w:right="-113"/>
            </w:pPr>
            <w:r>
              <w:t>-</w:t>
            </w:r>
            <w:r w:rsidRPr="001A5435">
              <w:rPr>
                <w:sz w:val="20"/>
                <w:szCs w:val="20"/>
              </w:rPr>
              <w:t>K</w:t>
            </w:r>
            <w:r w:rsidRPr="006C17D3">
              <w:rPr>
                <w:sz w:val="20"/>
                <w:szCs w:val="20"/>
                <w:vertAlign w:val="subscript"/>
              </w:rPr>
              <w:t>2</w:t>
            </w:r>
            <w:r>
              <w:rPr>
                <w:sz w:val="20"/>
                <w:szCs w:val="20"/>
              </w:rPr>
              <w:t>(</w:t>
            </w:r>
            <w:r w:rsidRPr="001A5435">
              <w:rPr>
                <w:sz w:val="20"/>
                <w:szCs w:val="20"/>
              </w:rPr>
              <w:t>t</w:t>
            </w:r>
            <w:r>
              <w:rPr>
                <w:sz w:val="20"/>
                <w:szCs w:val="20"/>
              </w:rPr>
              <w:t>-t</w:t>
            </w:r>
            <w:r>
              <w:rPr>
                <w:sz w:val="20"/>
                <w:szCs w:val="20"/>
                <w:vertAlign w:val="subscript"/>
              </w:rPr>
              <w:t>0</w:t>
            </w:r>
            <w:r>
              <w:rPr>
                <w:sz w:val="20"/>
                <w:szCs w:val="20"/>
              </w:rPr>
              <w:t>)</w:t>
            </w:r>
          </w:p>
        </w:tc>
        <w:tc>
          <w:tcPr>
            <w:tcW w:w="236" w:type="dxa"/>
            <w:vMerge w:val="restart"/>
            <w:vAlign w:val="center"/>
          </w:tcPr>
          <w:p w:rsidR="006C17D3" w:rsidRPr="00035F4F" w:rsidRDefault="006C17D3" w:rsidP="006C17D3">
            <w:pPr>
              <w:widowControl w:val="0"/>
              <w:autoSpaceDE w:val="0"/>
              <w:autoSpaceDN w:val="0"/>
              <w:adjustRightInd w:val="0"/>
              <w:ind w:left="-124" w:right="-507" w:firstLine="6"/>
              <w:rPr>
                <w:rFonts w:ascii="Helvetica Condensed" w:hAnsi="Helvetica Condensed" w:cs="Helvetica Condensed"/>
                <w:sz w:val="48"/>
                <w:szCs w:val="48"/>
              </w:rPr>
            </w:pPr>
            <w:r w:rsidRPr="00035F4F">
              <w:rPr>
                <w:rFonts w:ascii="Helvetica Condensed" w:hAnsi="Helvetica Condensed" w:cs="Helvetica Condensed"/>
                <w:sz w:val="48"/>
                <w:szCs w:val="48"/>
              </w:rPr>
              <w:t>)</w:t>
            </w:r>
          </w:p>
        </w:tc>
        <w:tc>
          <w:tcPr>
            <w:tcW w:w="236" w:type="dxa"/>
            <w:vMerge w:val="restart"/>
            <w:vAlign w:val="center"/>
          </w:tcPr>
          <w:p w:rsidR="006C17D3" w:rsidRPr="001A5435" w:rsidRDefault="006C17D3" w:rsidP="006C17D3">
            <w:pPr>
              <w:widowControl w:val="0"/>
              <w:autoSpaceDE w:val="0"/>
              <w:autoSpaceDN w:val="0"/>
              <w:adjustRightInd w:val="0"/>
              <w:ind w:left="-116" w:right="-92"/>
              <w:jc w:val="center"/>
              <w:rPr>
                <w:rFonts w:ascii="Helvetica Condensed" w:hAnsi="Helvetica Condensed" w:cs="Helvetica Condensed"/>
              </w:rPr>
            </w:pPr>
            <w:r>
              <w:t>+</w:t>
            </w:r>
          </w:p>
        </w:tc>
        <w:tc>
          <w:tcPr>
            <w:tcW w:w="383" w:type="dxa"/>
            <w:vMerge w:val="restart"/>
            <w:vAlign w:val="center"/>
          </w:tcPr>
          <w:p w:rsidR="006C17D3" w:rsidRPr="006C17D3" w:rsidRDefault="006C17D3" w:rsidP="006C17D3">
            <w:pPr>
              <w:widowControl w:val="0"/>
              <w:autoSpaceDE w:val="0"/>
              <w:autoSpaceDN w:val="0"/>
              <w:adjustRightInd w:val="0"/>
              <w:ind w:left="-124" w:right="-108"/>
              <w:jc w:val="right"/>
              <w:rPr>
                <w:sz w:val="20"/>
                <w:szCs w:val="20"/>
              </w:rPr>
            </w:pPr>
            <w:r>
              <w:t>D</w:t>
            </w:r>
            <w:r w:rsidRPr="00900EF9">
              <w:rPr>
                <w:vertAlign w:val="subscript"/>
              </w:rPr>
              <w:t>a</w:t>
            </w:r>
            <w:r>
              <w:t>e</w:t>
            </w:r>
          </w:p>
        </w:tc>
        <w:tc>
          <w:tcPr>
            <w:tcW w:w="611" w:type="dxa"/>
            <w:vAlign w:val="bottom"/>
          </w:tcPr>
          <w:p w:rsidR="006C17D3" w:rsidRPr="006C17D3" w:rsidRDefault="006C17D3" w:rsidP="006C17D3">
            <w:pPr>
              <w:widowControl w:val="0"/>
              <w:autoSpaceDE w:val="0"/>
              <w:autoSpaceDN w:val="0"/>
              <w:adjustRightInd w:val="0"/>
              <w:ind w:left="-108" w:right="-108"/>
              <w:rPr>
                <w:sz w:val="20"/>
                <w:szCs w:val="20"/>
              </w:rPr>
            </w:pPr>
            <w:r w:rsidRPr="006C17D3">
              <w:rPr>
                <w:sz w:val="20"/>
                <w:szCs w:val="20"/>
              </w:rPr>
              <w:t>-K</w:t>
            </w:r>
            <w:r w:rsidRPr="006C17D3">
              <w:rPr>
                <w:sz w:val="20"/>
                <w:szCs w:val="20"/>
                <w:vertAlign w:val="subscript"/>
              </w:rPr>
              <w:t>2</w:t>
            </w:r>
            <w:r w:rsidRPr="006C17D3">
              <w:rPr>
                <w:sz w:val="20"/>
                <w:szCs w:val="20"/>
              </w:rPr>
              <w:t>t</w:t>
            </w:r>
          </w:p>
        </w:tc>
      </w:tr>
      <w:tr w:rsidR="006C17D3">
        <w:tblPrEx>
          <w:tblCellMar>
            <w:top w:w="0" w:type="dxa"/>
            <w:bottom w:w="0" w:type="dxa"/>
          </w:tblCellMar>
        </w:tblPrEx>
        <w:tc>
          <w:tcPr>
            <w:tcW w:w="399" w:type="dxa"/>
            <w:vMerge/>
          </w:tcPr>
          <w:p w:rsidR="006C17D3" w:rsidRDefault="006C17D3" w:rsidP="009955FC">
            <w:pPr>
              <w:widowControl w:val="0"/>
              <w:autoSpaceDE w:val="0"/>
              <w:autoSpaceDN w:val="0"/>
              <w:adjustRightInd w:val="0"/>
            </w:pPr>
          </w:p>
        </w:tc>
        <w:tc>
          <w:tcPr>
            <w:tcW w:w="236" w:type="dxa"/>
            <w:vMerge/>
          </w:tcPr>
          <w:p w:rsidR="006C17D3" w:rsidRDefault="006C17D3" w:rsidP="009955FC">
            <w:pPr>
              <w:widowControl w:val="0"/>
              <w:autoSpaceDE w:val="0"/>
              <w:autoSpaceDN w:val="0"/>
              <w:adjustRightInd w:val="0"/>
            </w:pPr>
          </w:p>
        </w:tc>
        <w:tc>
          <w:tcPr>
            <w:tcW w:w="733" w:type="dxa"/>
            <w:tcBorders>
              <w:top w:val="single" w:sz="4" w:space="0" w:color="auto"/>
            </w:tcBorders>
          </w:tcPr>
          <w:p w:rsidR="006C17D3" w:rsidRPr="00FA48BF" w:rsidRDefault="006C17D3" w:rsidP="009955FC">
            <w:pPr>
              <w:widowControl w:val="0"/>
              <w:autoSpaceDE w:val="0"/>
              <w:autoSpaceDN w:val="0"/>
              <w:adjustRightInd w:val="0"/>
              <w:ind w:left="-116" w:right="-108"/>
              <w:jc w:val="center"/>
            </w:pPr>
            <w:r>
              <w:t>K</w:t>
            </w:r>
            <w:r w:rsidRPr="00FA48BF">
              <w:rPr>
                <w:vertAlign w:val="subscript"/>
              </w:rPr>
              <w:t>2</w:t>
            </w:r>
            <w:r>
              <w:t>-K</w:t>
            </w:r>
            <w:r>
              <w:rPr>
                <w:vertAlign w:val="subscript"/>
              </w:rPr>
              <w:t>n</w:t>
            </w:r>
          </w:p>
        </w:tc>
        <w:tc>
          <w:tcPr>
            <w:tcW w:w="236" w:type="dxa"/>
            <w:vMerge/>
          </w:tcPr>
          <w:p w:rsidR="006C17D3" w:rsidRDefault="006C17D3" w:rsidP="009955FC">
            <w:pPr>
              <w:widowControl w:val="0"/>
              <w:autoSpaceDE w:val="0"/>
              <w:autoSpaceDN w:val="0"/>
              <w:adjustRightInd w:val="0"/>
              <w:ind w:left="-216" w:right="-99" w:hanging="6"/>
              <w:jc w:val="center"/>
            </w:pPr>
          </w:p>
        </w:tc>
        <w:tc>
          <w:tcPr>
            <w:tcW w:w="236" w:type="dxa"/>
            <w:vMerge/>
          </w:tcPr>
          <w:p w:rsidR="006C17D3" w:rsidRDefault="006C17D3" w:rsidP="009955FC">
            <w:pPr>
              <w:widowControl w:val="0"/>
              <w:autoSpaceDE w:val="0"/>
              <w:autoSpaceDN w:val="0"/>
              <w:adjustRightInd w:val="0"/>
              <w:ind w:left="-117" w:right="-105"/>
            </w:pPr>
          </w:p>
        </w:tc>
        <w:tc>
          <w:tcPr>
            <w:tcW w:w="725" w:type="dxa"/>
          </w:tcPr>
          <w:p w:rsidR="006C17D3" w:rsidRDefault="006C17D3" w:rsidP="009955FC">
            <w:pPr>
              <w:widowControl w:val="0"/>
              <w:autoSpaceDE w:val="0"/>
              <w:autoSpaceDN w:val="0"/>
              <w:adjustRightInd w:val="0"/>
            </w:pPr>
          </w:p>
        </w:tc>
        <w:tc>
          <w:tcPr>
            <w:tcW w:w="236" w:type="dxa"/>
            <w:vMerge/>
          </w:tcPr>
          <w:p w:rsidR="006C17D3" w:rsidRDefault="006C17D3" w:rsidP="009955FC">
            <w:pPr>
              <w:widowControl w:val="0"/>
              <w:autoSpaceDE w:val="0"/>
              <w:autoSpaceDN w:val="0"/>
              <w:adjustRightInd w:val="0"/>
              <w:ind w:left="-90"/>
              <w:jc w:val="center"/>
            </w:pPr>
          </w:p>
        </w:tc>
        <w:tc>
          <w:tcPr>
            <w:tcW w:w="236" w:type="dxa"/>
            <w:vMerge/>
          </w:tcPr>
          <w:p w:rsidR="006C17D3" w:rsidRDefault="006C17D3" w:rsidP="009955FC">
            <w:pPr>
              <w:widowControl w:val="0"/>
              <w:autoSpaceDE w:val="0"/>
              <w:autoSpaceDN w:val="0"/>
              <w:adjustRightInd w:val="0"/>
              <w:jc w:val="center"/>
            </w:pPr>
          </w:p>
        </w:tc>
        <w:tc>
          <w:tcPr>
            <w:tcW w:w="725" w:type="dxa"/>
          </w:tcPr>
          <w:p w:rsidR="006C17D3" w:rsidRDefault="006C17D3" w:rsidP="009955FC">
            <w:pPr>
              <w:widowControl w:val="0"/>
              <w:autoSpaceDE w:val="0"/>
              <w:autoSpaceDN w:val="0"/>
              <w:adjustRightInd w:val="0"/>
            </w:pPr>
          </w:p>
        </w:tc>
        <w:tc>
          <w:tcPr>
            <w:tcW w:w="236" w:type="dxa"/>
            <w:vMerge/>
          </w:tcPr>
          <w:p w:rsidR="006C17D3" w:rsidRDefault="006C17D3" w:rsidP="006C17D3">
            <w:pPr>
              <w:widowControl w:val="0"/>
              <w:autoSpaceDE w:val="0"/>
              <w:autoSpaceDN w:val="0"/>
              <w:adjustRightInd w:val="0"/>
              <w:ind w:left="-124" w:right="-507" w:firstLine="6"/>
            </w:pPr>
          </w:p>
        </w:tc>
        <w:tc>
          <w:tcPr>
            <w:tcW w:w="236" w:type="dxa"/>
            <w:vMerge/>
            <w:vAlign w:val="center"/>
          </w:tcPr>
          <w:p w:rsidR="006C17D3" w:rsidRDefault="006C17D3" w:rsidP="006C17D3">
            <w:pPr>
              <w:widowControl w:val="0"/>
              <w:autoSpaceDE w:val="0"/>
              <w:autoSpaceDN w:val="0"/>
              <w:adjustRightInd w:val="0"/>
              <w:ind w:left="-116" w:right="-92"/>
              <w:jc w:val="center"/>
            </w:pPr>
          </w:p>
        </w:tc>
        <w:tc>
          <w:tcPr>
            <w:tcW w:w="383" w:type="dxa"/>
            <w:vMerge/>
          </w:tcPr>
          <w:p w:rsidR="006C17D3" w:rsidRDefault="006C17D3" w:rsidP="009955FC">
            <w:pPr>
              <w:widowControl w:val="0"/>
              <w:autoSpaceDE w:val="0"/>
              <w:autoSpaceDN w:val="0"/>
              <w:adjustRightInd w:val="0"/>
            </w:pPr>
          </w:p>
        </w:tc>
        <w:tc>
          <w:tcPr>
            <w:tcW w:w="611" w:type="dxa"/>
          </w:tcPr>
          <w:p w:rsidR="006C17D3" w:rsidRDefault="006C17D3" w:rsidP="006C17D3">
            <w:pPr>
              <w:widowControl w:val="0"/>
              <w:autoSpaceDE w:val="0"/>
              <w:autoSpaceDN w:val="0"/>
              <w:adjustRightInd w:val="0"/>
              <w:ind w:left="-108" w:right="-108"/>
            </w:pPr>
          </w:p>
        </w:tc>
      </w:tr>
    </w:tbl>
    <w:p w:rsidR="001A5435" w:rsidRDefault="001A5435" w:rsidP="00FF3C1F">
      <w:pPr>
        <w:widowControl w:val="0"/>
        <w:autoSpaceDE w:val="0"/>
        <w:autoSpaceDN w:val="0"/>
        <w:adjustRightInd w:val="0"/>
      </w:pPr>
    </w:p>
    <w:p w:rsidR="00FF3C1F" w:rsidRDefault="00FF3C1F" w:rsidP="00FF3C1F">
      <w:pPr>
        <w:widowControl w:val="0"/>
        <w:autoSpaceDE w:val="0"/>
        <w:autoSpaceDN w:val="0"/>
        <w:adjustRightInd w:val="0"/>
      </w:pPr>
      <w:r>
        <w:t xml:space="preserve">Definition and discussion of terms: </w:t>
      </w:r>
    </w:p>
    <w:p w:rsidR="00FF3C1F" w:rsidRDefault="00FF3C1F" w:rsidP="00FF3C1F">
      <w:pPr>
        <w:widowControl w:val="0"/>
        <w:autoSpaceDE w:val="0"/>
        <w:autoSpaceDN w:val="0"/>
        <w:adjustRightInd w:val="0"/>
        <w:ind w:left="1440" w:hanging="720"/>
      </w:pPr>
      <w:r>
        <w:t>a)</w:t>
      </w:r>
      <w:r>
        <w:tab/>
        <w:t xml:space="preserve">D = Dissolved oxygen deficit; units = mg/l; defined as the difference between the dissolved oxygen concentration at saturation and the actual instantaneous dissolved oxygen concentration at time t, i.e., </w:t>
      </w:r>
    </w:p>
    <w:p w:rsidR="00FF3C1F" w:rsidRDefault="00FF3C1F" w:rsidP="00FF3C1F">
      <w:pPr>
        <w:widowControl w:val="0"/>
        <w:autoSpaceDE w:val="0"/>
        <w:autoSpaceDN w:val="0"/>
        <w:adjustRightInd w:val="0"/>
        <w:ind w:left="1440" w:hanging="720"/>
      </w:pPr>
    </w:p>
    <w:p w:rsidR="00FF3C1F" w:rsidRDefault="00FF3C1F" w:rsidP="00FF3C1F">
      <w:pPr>
        <w:widowControl w:val="0"/>
        <w:autoSpaceDE w:val="0"/>
        <w:autoSpaceDN w:val="0"/>
        <w:adjustRightInd w:val="0"/>
        <w:ind w:left="1440" w:hanging="720"/>
      </w:pPr>
      <w:r>
        <w:tab/>
        <w:t>D = D.O.</w:t>
      </w:r>
      <w:r w:rsidR="00CC20D9">
        <w:rPr>
          <w:vertAlign w:val="subscript"/>
        </w:rPr>
        <w:t>sat</w:t>
      </w:r>
      <w:r>
        <w:t xml:space="preserve"> - D.O.</w:t>
      </w:r>
      <w:r w:rsidR="00CC20D9">
        <w:rPr>
          <w:vertAlign w:val="subscript"/>
        </w:rPr>
        <w:t>actual</w:t>
      </w:r>
      <w:r>
        <w:t>.  From this relation, the stream dissolved oxygen concentration can be computed for various times-of-travel (t's) downstream and plotted on a graph of t vs. D.O.</w:t>
      </w:r>
      <w:r w:rsidR="00CC20D9">
        <w:rPr>
          <w:vertAlign w:val="subscript"/>
        </w:rPr>
        <w:t>actual</w:t>
      </w:r>
      <w:r>
        <w:t xml:space="preserve">. </w:t>
      </w:r>
    </w:p>
    <w:p w:rsidR="00FF3C1F" w:rsidRDefault="00FF3C1F" w:rsidP="00FF3C1F">
      <w:pPr>
        <w:widowControl w:val="0"/>
        <w:autoSpaceDE w:val="0"/>
        <w:autoSpaceDN w:val="0"/>
        <w:adjustRightInd w:val="0"/>
        <w:ind w:left="1440" w:hanging="720"/>
      </w:pPr>
    </w:p>
    <w:p w:rsidR="00FF3C1F" w:rsidRDefault="00FF3C1F" w:rsidP="00FF3C1F">
      <w:pPr>
        <w:widowControl w:val="0"/>
        <w:autoSpaceDE w:val="0"/>
        <w:autoSpaceDN w:val="0"/>
        <w:adjustRightInd w:val="0"/>
        <w:ind w:left="1440" w:hanging="720"/>
      </w:pPr>
      <w:r>
        <w:t>b)</w:t>
      </w:r>
      <w:r>
        <w:tab/>
        <w:t>K</w:t>
      </w:r>
      <w:r w:rsidRPr="00591FDE">
        <w:rPr>
          <w:vertAlign w:val="subscript"/>
        </w:rPr>
        <w:t>c</w:t>
      </w:r>
      <w:r>
        <w:t xml:space="preserve"> = carbonaceous decay constant; units = 1/day; this constant describes the rate at which carbonaceous BOD is utilized in a stream.  Its value may be determined experimentally for a specific effluent and a specific stream.  The actual value of K</w:t>
      </w:r>
      <w:r w:rsidRPr="00591FDE">
        <w:rPr>
          <w:vertAlign w:val="subscript"/>
        </w:rPr>
        <w:t>c</w:t>
      </w:r>
      <w:r>
        <w:t xml:space="preserve"> depends essentially upon the origin a</w:t>
      </w:r>
      <w:r w:rsidR="00591FDE">
        <w:t xml:space="preserve">nd strength of the wastewater, </w:t>
      </w:r>
      <w:r>
        <w:t xml:space="preserve">the type of treatment that wastewater has undergone, as well as various stream characteristics. </w:t>
      </w:r>
    </w:p>
    <w:p w:rsidR="00FF3C1F" w:rsidRDefault="00FF3C1F" w:rsidP="00FF3C1F">
      <w:pPr>
        <w:widowControl w:val="0"/>
        <w:autoSpaceDE w:val="0"/>
        <w:autoSpaceDN w:val="0"/>
        <w:adjustRightInd w:val="0"/>
        <w:ind w:left="1440" w:hanging="720"/>
      </w:pPr>
    </w:p>
    <w:p w:rsidR="00FF3C1F" w:rsidRDefault="00FF3C1F" w:rsidP="00FF3C1F">
      <w:pPr>
        <w:widowControl w:val="0"/>
        <w:autoSpaceDE w:val="0"/>
        <w:autoSpaceDN w:val="0"/>
        <w:adjustRightInd w:val="0"/>
        <w:ind w:left="1440" w:hanging="720"/>
      </w:pPr>
      <w:r>
        <w:tab/>
        <w:t>The following guidelines may be used for selection of a K</w:t>
      </w:r>
      <w:r w:rsidRPr="00FA0AE0">
        <w:rPr>
          <w:vertAlign w:val="subscript"/>
        </w:rPr>
        <w:t>c</w:t>
      </w:r>
      <w:r>
        <w:t xml:space="preserve"> value for various applications: </w:t>
      </w:r>
    </w:p>
    <w:p w:rsidR="00FF3C1F" w:rsidRDefault="00FF3C1F" w:rsidP="00FF3C1F">
      <w:pPr>
        <w:widowControl w:val="0"/>
        <w:autoSpaceDE w:val="0"/>
        <w:autoSpaceDN w:val="0"/>
        <w:adjustRightInd w:val="0"/>
        <w:ind w:left="1440" w:hanging="720"/>
      </w:pPr>
    </w:p>
    <w:p w:rsidR="00FF3C1F" w:rsidRDefault="00FF3C1F" w:rsidP="00FF3C1F">
      <w:pPr>
        <w:widowControl w:val="0"/>
        <w:autoSpaceDE w:val="0"/>
        <w:autoSpaceDN w:val="0"/>
        <w:adjustRightInd w:val="0"/>
        <w:ind w:left="2160" w:hanging="720"/>
      </w:pPr>
      <w:r>
        <w:t>1)</w:t>
      </w:r>
      <w:r>
        <w:tab/>
        <w:t>Effluents containing up to and including 10 mg/l BOD</w:t>
      </w:r>
      <w:r w:rsidRPr="00591FDE">
        <w:rPr>
          <w:vertAlign w:val="subscript"/>
        </w:rPr>
        <w:t>5</w:t>
      </w:r>
      <w:r>
        <w:t xml:space="preserve">:  0.10 </w:t>
      </w:r>
    </w:p>
    <w:p w:rsidR="00FF3C1F" w:rsidRDefault="00FF3C1F" w:rsidP="00FF3C1F">
      <w:pPr>
        <w:widowControl w:val="0"/>
        <w:autoSpaceDE w:val="0"/>
        <w:autoSpaceDN w:val="0"/>
        <w:adjustRightInd w:val="0"/>
        <w:ind w:left="2160" w:hanging="720"/>
      </w:pPr>
    </w:p>
    <w:p w:rsidR="00FF3C1F" w:rsidRDefault="00FF3C1F" w:rsidP="00FF3C1F">
      <w:pPr>
        <w:widowControl w:val="0"/>
        <w:autoSpaceDE w:val="0"/>
        <w:autoSpaceDN w:val="0"/>
        <w:adjustRightInd w:val="0"/>
        <w:ind w:left="2160" w:hanging="720"/>
      </w:pPr>
      <w:r>
        <w:t>2)</w:t>
      </w:r>
      <w:r>
        <w:tab/>
        <w:t>Effluents containing between 10 and 30 mg/l BOD</w:t>
      </w:r>
      <w:r w:rsidRPr="00591FDE">
        <w:rPr>
          <w:vertAlign w:val="subscript"/>
        </w:rPr>
        <w:t>5</w:t>
      </w:r>
      <w:r>
        <w:t xml:space="preserve">:  0.30 </w:t>
      </w:r>
    </w:p>
    <w:p w:rsidR="00FF3C1F" w:rsidRDefault="00FF3C1F" w:rsidP="00FF3C1F">
      <w:pPr>
        <w:widowControl w:val="0"/>
        <w:autoSpaceDE w:val="0"/>
        <w:autoSpaceDN w:val="0"/>
        <w:adjustRightInd w:val="0"/>
        <w:ind w:left="2160" w:hanging="720"/>
      </w:pPr>
    </w:p>
    <w:p w:rsidR="00FF3C1F" w:rsidRDefault="00FF3C1F" w:rsidP="00FF3C1F">
      <w:pPr>
        <w:widowControl w:val="0"/>
        <w:autoSpaceDE w:val="0"/>
        <w:autoSpaceDN w:val="0"/>
        <w:adjustRightInd w:val="0"/>
        <w:ind w:left="2160" w:hanging="720"/>
      </w:pPr>
      <w:r>
        <w:t>3)</w:t>
      </w:r>
      <w:r>
        <w:tab/>
        <w:t>Virtually all effluents may be tested using an appropriate experimental procedure for a more precise determination of K</w:t>
      </w:r>
      <w:r w:rsidRPr="00FA0AE0">
        <w:rPr>
          <w:vertAlign w:val="subscript"/>
        </w:rPr>
        <w:t>c</w:t>
      </w:r>
      <w:r>
        <w:t xml:space="preserve">. </w:t>
      </w:r>
    </w:p>
    <w:p w:rsidR="00FF3C1F" w:rsidRDefault="00FF3C1F" w:rsidP="00FF3C1F">
      <w:pPr>
        <w:widowControl w:val="0"/>
        <w:autoSpaceDE w:val="0"/>
        <w:autoSpaceDN w:val="0"/>
        <w:adjustRightInd w:val="0"/>
        <w:ind w:left="2160" w:hanging="720"/>
      </w:pPr>
    </w:p>
    <w:p w:rsidR="00FF3C1F" w:rsidRDefault="00FF3C1F" w:rsidP="00FF3C1F">
      <w:pPr>
        <w:widowControl w:val="0"/>
        <w:autoSpaceDE w:val="0"/>
        <w:autoSpaceDN w:val="0"/>
        <w:adjustRightInd w:val="0"/>
        <w:ind w:left="1440" w:hanging="720"/>
      </w:pPr>
      <w:r>
        <w:t>c)</w:t>
      </w:r>
      <w:r>
        <w:tab/>
        <w:t>L</w:t>
      </w:r>
      <w:r w:rsidRPr="00FA0AE0">
        <w:rPr>
          <w:vertAlign w:val="subscript"/>
        </w:rPr>
        <w:t>ac</w:t>
      </w:r>
      <w:r>
        <w:t xml:space="preserve"> = ultimate carbonaceous demand; units = mg/l; this term may be calculated once the BOD</w:t>
      </w:r>
      <w:r w:rsidRPr="00591FDE">
        <w:rPr>
          <w:vertAlign w:val="subscript"/>
        </w:rPr>
        <w:t>5</w:t>
      </w:r>
      <w:r>
        <w:t xml:space="preserve"> and K</w:t>
      </w:r>
      <w:r w:rsidRPr="00FA0AE0">
        <w:rPr>
          <w:vertAlign w:val="subscript"/>
        </w:rPr>
        <w:t>c</w:t>
      </w:r>
      <w:r>
        <w:t xml:space="preserve"> are known by use of the following equation: </w:t>
      </w:r>
    </w:p>
    <w:p w:rsidR="00FF3C1F" w:rsidRDefault="00FF3C1F" w:rsidP="00FF3C1F">
      <w:pPr>
        <w:widowControl w:val="0"/>
        <w:autoSpaceDE w:val="0"/>
        <w:autoSpaceDN w:val="0"/>
        <w:adjustRightInd w:val="0"/>
        <w:ind w:left="1440" w:hanging="720"/>
      </w:pPr>
    </w:p>
    <w:tbl>
      <w:tblPr>
        <w:tblW w:w="0" w:type="auto"/>
        <w:tblInd w:w="2158" w:type="dxa"/>
        <w:tblLook w:val="0000" w:firstRow="0" w:lastRow="0" w:firstColumn="0" w:lastColumn="0" w:noHBand="0" w:noVBand="0"/>
      </w:tblPr>
      <w:tblGrid>
        <w:gridCol w:w="515"/>
        <w:gridCol w:w="285"/>
        <w:gridCol w:w="342"/>
        <w:gridCol w:w="456"/>
      </w:tblGrid>
      <w:tr w:rsidR="00FA0AE0">
        <w:tblPrEx>
          <w:tblCellMar>
            <w:top w:w="0" w:type="dxa"/>
            <w:bottom w:w="0" w:type="dxa"/>
          </w:tblCellMar>
        </w:tblPrEx>
        <w:tc>
          <w:tcPr>
            <w:tcW w:w="515" w:type="dxa"/>
            <w:vMerge w:val="restart"/>
            <w:vAlign w:val="center"/>
          </w:tcPr>
          <w:p w:rsidR="00FA0AE0" w:rsidRPr="00FA0AE0" w:rsidRDefault="00FA0AE0" w:rsidP="00FA0AE0">
            <w:pPr>
              <w:widowControl w:val="0"/>
              <w:autoSpaceDE w:val="0"/>
              <w:autoSpaceDN w:val="0"/>
              <w:adjustRightInd w:val="0"/>
              <w:ind w:left="-106" w:right="-108"/>
              <w:jc w:val="center"/>
              <w:rPr>
                <w:vertAlign w:val="subscript"/>
              </w:rPr>
            </w:pPr>
            <w:r>
              <w:t>L</w:t>
            </w:r>
            <w:r>
              <w:rPr>
                <w:vertAlign w:val="subscript"/>
              </w:rPr>
              <w:t>ac</w:t>
            </w:r>
          </w:p>
        </w:tc>
        <w:tc>
          <w:tcPr>
            <w:tcW w:w="285" w:type="dxa"/>
            <w:vMerge w:val="restart"/>
            <w:vAlign w:val="center"/>
          </w:tcPr>
          <w:p w:rsidR="00FA0AE0" w:rsidRDefault="00FA0AE0" w:rsidP="00FA0AE0">
            <w:pPr>
              <w:widowControl w:val="0"/>
              <w:autoSpaceDE w:val="0"/>
              <w:autoSpaceDN w:val="0"/>
              <w:adjustRightInd w:val="0"/>
              <w:ind w:left="-126" w:right="-98"/>
              <w:jc w:val="center"/>
            </w:pPr>
            <w:r>
              <w:t>=</w:t>
            </w:r>
          </w:p>
        </w:tc>
        <w:tc>
          <w:tcPr>
            <w:tcW w:w="798" w:type="dxa"/>
            <w:gridSpan w:val="2"/>
            <w:tcBorders>
              <w:bottom w:val="single" w:sz="4" w:space="0" w:color="auto"/>
            </w:tcBorders>
            <w:vAlign w:val="bottom"/>
          </w:tcPr>
          <w:p w:rsidR="00FA0AE0" w:rsidRDefault="00FA0AE0" w:rsidP="0015569E">
            <w:pPr>
              <w:widowControl w:val="0"/>
              <w:autoSpaceDE w:val="0"/>
              <w:autoSpaceDN w:val="0"/>
              <w:adjustRightInd w:val="0"/>
              <w:ind w:left="-108" w:right="-123"/>
              <w:jc w:val="center"/>
            </w:pPr>
            <w:r>
              <w:t>E</w:t>
            </w:r>
            <w:r>
              <w:rPr>
                <w:vertAlign w:val="subscript"/>
              </w:rPr>
              <w:t>f</w:t>
            </w:r>
          </w:p>
        </w:tc>
      </w:tr>
      <w:tr w:rsidR="00FA0AE0">
        <w:tblPrEx>
          <w:tblCellMar>
            <w:top w:w="0" w:type="dxa"/>
            <w:bottom w:w="0" w:type="dxa"/>
          </w:tblCellMar>
        </w:tblPrEx>
        <w:tc>
          <w:tcPr>
            <w:tcW w:w="515" w:type="dxa"/>
            <w:vMerge/>
          </w:tcPr>
          <w:p w:rsidR="00FA0AE0" w:rsidRDefault="00FA0AE0" w:rsidP="00FA0AE0">
            <w:pPr>
              <w:widowControl w:val="0"/>
              <w:autoSpaceDE w:val="0"/>
              <w:autoSpaceDN w:val="0"/>
              <w:adjustRightInd w:val="0"/>
              <w:ind w:left="-106" w:right="-108"/>
              <w:jc w:val="center"/>
            </w:pPr>
          </w:p>
        </w:tc>
        <w:tc>
          <w:tcPr>
            <w:tcW w:w="285" w:type="dxa"/>
            <w:vMerge/>
          </w:tcPr>
          <w:p w:rsidR="00FA0AE0" w:rsidRDefault="00FA0AE0" w:rsidP="00FA0AE0">
            <w:pPr>
              <w:widowControl w:val="0"/>
              <w:autoSpaceDE w:val="0"/>
              <w:autoSpaceDN w:val="0"/>
              <w:adjustRightInd w:val="0"/>
              <w:ind w:left="-126" w:right="-98"/>
              <w:jc w:val="center"/>
            </w:pPr>
          </w:p>
        </w:tc>
        <w:tc>
          <w:tcPr>
            <w:tcW w:w="342" w:type="dxa"/>
            <w:tcBorders>
              <w:top w:val="single" w:sz="4" w:space="0" w:color="auto"/>
            </w:tcBorders>
            <w:vAlign w:val="bottom"/>
          </w:tcPr>
          <w:p w:rsidR="00FA0AE0" w:rsidRDefault="00FA0AE0" w:rsidP="00FA0AE0">
            <w:pPr>
              <w:widowControl w:val="0"/>
              <w:autoSpaceDE w:val="0"/>
              <w:autoSpaceDN w:val="0"/>
              <w:adjustRightInd w:val="0"/>
              <w:ind w:left="-118" w:right="-102"/>
              <w:jc w:val="center"/>
            </w:pPr>
            <w:r>
              <w:t>1-e</w:t>
            </w:r>
          </w:p>
        </w:tc>
        <w:tc>
          <w:tcPr>
            <w:tcW w:w="456" w:type="dxa"/>
            <w:tcBorders>
              <w:top w:val="single" w:sz="4" w:space="0" w:color="auto"/>
            </w:tcBorders>
          </w:tcPr>
          <w:p w:rsidR="00FA0AE0" w:rsidRPr="00FA0AE0" w:rsidRDefault="00FA0AE0" w:rsidP="00FA0AE0">
            <w:pPr>
              <w:widowControl w:val="0"/>
              <w:autoSpaceDE w:val="0"/>
              <w:autoSpaceDN w:val="0"/>
              <w:adjustRightInd w:val="0"/>
              <w:ind w:left="-51" w:right="-450" w:hanging="36"/>
              <w:rPr>
                <w:sz w:val="18"/>
                <w:szCs w:val="18"/>
                <w:vertAlign w:val="subscript"/>
              </w:rPr>
            </w:pPr>
            <w:r w:rsidRPr="00FA0AE0">
              <w:rPr>
                <w:sz w:val="18"/>
                <w:szCs w:val="18"/>
              </w:rPr>
              <w:t>-5K</w:t>
            </w:r>
            <w:r w:rsidRPr="00FA0AE0">
              <w:rPr>
                <w:sz w:val="18"/>
                <w:szCs w:val="18"/>
                <w:vertAlign w:val="subscript"/>
              </w:rPr>
              <w:t>c</w:t>
            </w:r>
          </w:p>
        </w:tc>
      </w:tr>
    </w:tbl>
    <w:p w:rsidR="00FA0AE0" w:rsidRDefault="00FA0AE0" w:rsidP="00FF3C1F">
      <w:pPr>
        <w:widowControl w:val="0"/>
        <w:autoSpaceDE w:val="0"/>
        <w:autoSpaceDN w:val="0"/>
        <w:adjustRightInd w:val="0"/>
        <w:ind w:left="1440" w:hanging="720"/>
      </w:pPr>
    </w:p>
    <w:p w:rsidR="00FF3C1F" w:rsidRDefault="00FF3C1F" w:rsidP="00FA0AE0">
      <w:pPr>
        <w:widowControl w:val="0"/>
        <w:autoSpaceDE w:val="0"/>
        <w:autoSpaceDN w:val="0"/>
        <w:adjustRightInd w:val="0"/>
        <w:ind w:left="1440"/>
      </w:pPr>
      <w:r>
        <w:t>In this equation, E</w:t>
      </w:r>
      <w:r w:rsidRPr="00FA0AE0">
        <w:rPr>
          <w:vertAlign w:val="subscript"/>
        </w:rPr>
        <w:t>f</w:t>
      </w:r>
      <w:r>
        <w:t xml:space="preserve"> is the treatment works effluent BOD</w:t>
      </w:r>
      <w:r w:rsidRPr="00FA0AE0">
        <w:rPr>
          <w:vertAlign w:val="subscript"/>
        </w:rPr>
        <w:t>5</w:t>
      </w:r>
      <w:r>
        <w:t xml:space="preserve">. </w:t>
      </w:r>
    </w:p>
    <w:p w:rsidR="00FF3C1F" w:rsidRDefault="00FF3C1F" w:rsidP="00FF3C1F">
      <w:pPr>
        <w:widowControl w:val="0"/>
        <w:autoSpaceDE w:val="0"/>
        <w:autoSpaceDN w:val="0"/>
        <w:adjustRightInd w:val="0"/>
        <w:ind w:left="1440" w:hanging="720"/>
      </w:pPr>
    </w:p>
    <w:p w:rsidR="00FF3C1F" w:rsidRDefault="00FF3C1F" w:rsidP="00FF3C1F">
      <w:pPr>
        <w:widowControl w:val="0"/>
        <w:autoSpaceDE w:val="0"/>
        <w:autoSpaceDN w:val="0"/>
        <w:adjustRightInd w:val="0"/>
        <w:ind w:left="1440" w:hanging="720"/>
      </w:pPr>
      <w:r>
        <w:t>d)</w:t>
      </w:r>
      <w:r>
        <w:tab/>
        <w:t>K</w:t>
      </w:r>
      <w:r w:rsidRPr="00591FDE">
        <w:rPr>
          <w:vertAlign w:val="subscript"/>
        </w:rPr>
        <w:t>2</w:t>
      </w:r>
      <w:r>
        <w:t xml:space="preserve"> = stream reaeration constant; units = 1/day; this constant describes the rate at which atmospheric oxygen diffuses into the water of a flowing stream.  Its value depends upon the hydraulic and geometric properties of the stream in question.  Many investigators have developed equations to predict K</w:t>
      </w:r>
      <w:r w:rsidRPr="00FA0AE0">
        <w:rPr>
          <w:vertAlign w:val="subscript"/>
        </w:rPr>
        <w:t>2</w:t>
      </w:r>
      <w:r>
        <w:t xml:space="preserve">.  The equation given below has been shown to yield results which best fit the field observations of many researchers over a wide variety of stream types: </w:t>
      </w:r>
    </w:p>
    <w:p w:rsidR="00FF3C1F" w:rsidRDefault="00FF3C1F" w:rsidP="00FF3C1F">
      <w:pPr>
        <w:widowControl w:val="0"/>
        <w:autoSpaceDE w:val="0"/>
        <w:autoSpaceDN w:val="0"/>
        <w:adjustRightInd w:val="0"/>
        <w:ind w:left="1440" w:hanging="720"/>
      </w:pPr>
    </w:p>
    <w:tbl>
      <w:tblPr>
        <w:tblW w:w="0" w:type="auto"/>
        <w:tblInd w:w="2217" w:type="dxa"/>
        <w:tblLook w:val="0000" w:firstRow="0" w:lastRow="0" w:firstColumn="0" w:lastColumn="0" w:noHBand="0" w:noVBand="0"/>
      </w:tblPr>
      <w:tblGrid>
        <w:gridCol w:w="393"/>
        <w:gridCol w:w="243"/>
        <w:gridCol w:w="2100"/>
        <w:gridCol w:w="978"/>
      </w:tblGrid>
      <w:tr w:rsidR="00FA0AE0">
        <w:tblPrEx>
          <w:tblCellMar>
            <w:top w:w="0" w:type="dxa"/>
            <w:bottom w:w="0" w:type="dxa"/>
          </w:tblCellMar>
        </w:tblPrEx>
        <w:tc>
          <w:tcPr>
            <w:tcW w:w="393" w:type="dxa"/>
            <w:vMerge w:val="restart"/>
            <w:vAlign w:val="center"/>
          </w:tcPr>
          <w:p w:rsidR="00FA0AE0" w:rsidRPr="00FA0AE0" w:rsidRDefault="00FA0AE0" w:rsidP="00D621F8">
            <w:pPr>
              <w:widowControl w:val="0"/>
              <w:autoSpaceDE w:val="0"/>
              <w:autoSpaceDN w:val="0"/>
              <w:adjustRightInd w:val="0"/>
              <w:ind w:left="-75" w:right="-94"/>
              <w:rPr>
                <w:vertAlign w:val="subscript"/>
              </w:rPr>
            </w:pPr>
            <w:r>
              <w:t>K</w:t>
            </w:r>
            <w:r>
              <w:rPr>
                <w:vertAlign w:val="subscript"/>
              </w:rPr>
              <w:t>2</w:t>
            </w:r>
          </w:p>
        </w:tc>
        <w:tc>
          <w:tcPr>
            <w:tcW w:w="243" w:type="dxa"/>
            <w:vMerge w:val="restart"/>
            <w:vAlign w:val="center"/>
          </w:tcPr>
          <w:p w:rsidR="00FA0AE0" w:rsidRDefault="00FA0AE0" w:rsidP="00D621F8">
            <w:pPr>
              <w:widowControl w:val="0"/>
              <w:autoSpaceDE w:val="0"/>
              <w:autoSpaceDN w:val="0"/>
              <w:adjustRightInd w:val="0"/>
              <w:ind w:left="-122" w:right="-114"/>
              <w:jc w:val="center"/>
            </w:pPr>
            <w:r>
              <w:t>=</w:t>
            </w:r>
          </w:p>
        </w:tc>
        <w:tc>
          <w:tcPr>
            <w:tcW w:w="2100" w:type="dxa"/>
            <w:vMerge w:val="restart"/>
            <w:vAlign w:val="center"/>
          </w:tcPr>
          <w:p w:rsidR="00FA0AE0" w:rsidRPr="00FA0AE0" w:rsidRDefault="00FA0AE0" w:rsidP="00D621F8">
            <w:pPr>
              <w:widowControl w:val="0"/>
              <w:autoSpaceDE w:val="0"/>
              <w:autoSpaceDN w:val="0"/>
              <w:adjustRightInd w:val="0"/>
              <w:ind w:left="-102" w:right="-129"/>
            </w:pPr>
            <w:r>
              <w:t>(110.5H + 0.5832V</w:t>
            </w:r>
            <w:r>
              <w:rPr>
                <w:vertAlign w:val="superscript"/>
              </w:rPr>
              <w:t>2</w:t>
            </w:r>
            <w:r>
              <w:t>)</w:t>
            </w:r>
          </w:p>
        </w:tc>
        <w:tc>
          <w:tcPr>
            <w:tcW w:w="978" w:type="dxa"/>
            <w:tcBorders>
              <w:bottom w:val="single" w:sz="4" w:space="0" w:color="auto"/>
            </w:tcBorders>
            <w:vAlign w:val="bottom"/>
          </w:tcPr>
          <w:p w:rsidR="00FA0AE0" w:rsidRPr="00FA0AE0" w:rsidRDefault="00FA0AE0" w:rsidP="00D621F8">
            <w:pPr>
              <w:widowControl w:val="0"/>
              <w:autoSpaceDE w:val="0"/>
              <w:autoSpaceDN w:val="0"/>
              <w:adjustRightInd w:val="0"/>
              <w:ind w:left="-105" w:right="-108"/>
              <w:jc w:val="center"/>
              <w:rPr>
                <w:vertAlign w:val="superscript"/>
              </w:rPr>
            </w:pPr>
            <w:r>
              <w:t>(SV)</w:t>
            </w:r>
            <w:r>
              <w:rPr>
                <w:vertAlign w:val="superscript"/>
              </w:rPr>
              <w:t>0.375</w:t>
            </w:r>
          </w:p>
        </w:tc>
      </w:tr>
      <w:tr w:rsidR="00FA0AE0">
        <w:tblPrEx>
          <w:tblCellMar>
            <w:top w:w="0" w:type="dxa"/>
            <w:bottom w:w="0" w:type="dxa"/>
          </w:tblCellMar>
        </w:tblPrEx>
        <w:tc>
          <w:tcPr>
            <w:tcW w:w="393" w:type="dxa"/>
            <w:vMerge/>
          </w:tcPr>
          <w:p w:rsidR="00FA0AE0" w:rsidRDefault="00FA0AE0" w:rsidP="00D621F8">
            <w:pPr>
              <w:widowControl w:val="0"/>
              <w:autoSpaceDE w:val="0"/>
              <w:autoSpaceDN w:val="0"/>
              <w:adjustRightInd w:val="0"/>
              <w:ind w:left="-75" w:right="-94"/>
            </w:pPr>
          </w:p>
        </w:tc>
        <w:tc>
          <w:tcPr>
            <w:tcW w:w="243" w:type="dxa"/>
            <w:vMerge/>
          </w:tcPr>
          <w:p w:rsidR="00FA0AE0" w:rsidRDefault="00FA0AE0" w:rsidP="00D621F8">
            <w:pPr>
              <w:widowControl w:val="0"/>
              <w:autoSpaceDE w:val="0"/>
              <w:autoSpaceDN w:val="0"/>
              <w:adjustRightInd w:val="0"/>
              <w:ind w:left="-122" w:right="-114"/>
              <w:jc w:val="center"/>
            </w:pPr>
          </w:p>
        </w:tc>
        <w:tc>
          <w:tcPr>
            <w:tcW w:w="2100" w:type="dxa"/>
            <w:vMerge/>
          </w:tcPr>
          <w:p w:rsidR="00FA0AE0" w:rsidRDefault="00FA0AE0" w:rsidP="00D621F8">
            <w:pPr>
              <w:widowControl w:val="0"/>
              <w:autoSpaceDE w:val="0"/>
              <w:autoSpaceDN w:val="0"/>
              <w:adjustRightInd w:val="0"/>
              <w:ind w:left="-102" w:right="-129"/>
              <w:jc w:val="center"/>
            </w:pPr>
          </w:p>
        </w:tc>
        <w:tc>
          <w:tcPr>
            <w:tcW w:w="978" w:type="dxa"/>
            <w:tcBorders>
              <w:top w:val="single" w:sz="4" w:space="0" w:color="auto"/>
            </w:tcBorders>
          </w:tcPr>
          <w:p w:rsidR="00FA0AE0" w:rsidRPr="00FA0AE0" w:rsidRDefault="00FA0AE0" w:rsidP="00D621F8">
            <w:pPr>
              <w:widowControl w:val="0"/>
              <w:autoSpaceDE w:val="0"/>
              <w:autoSpaceDN w:val="0"/>
              <w:adjustRightInd w:val="0"/>
              <w:ind w:left="-105" w:right="-108"/>
              <w:jc w:val="center"/>
              <w:rPr>
                <w:vertAlign w:val="superscript"/>
              </w:rPr>
            </w:pPr>
            <w:r>
              <w:t>H</w:t>
            </w:r>
            <w:r>
              <w:rPr>
                <w:vertAlign w:val="superscript"/>
              </w:rPr>
              <w:t>2</w:t>
            </w:r>
          </w:p>
        </w:tc>
      </w:tr>
    </w:tbl>
    <w:p w:rsidR="00FA0AE0" w:rsidRDefault="00FA0AE0" w:rsidP="00FF3C1F">
      <w:pPr>
        <w:widowControl w:val="0"/>
        <w:autoSpaceDE w:val="0"/>
        <w:autoSpaceDN w:val="0"/>
        <w:adjustRightInd w:val="0"/>
        <w:ind w:left="1440" w:hanging="720"/>
      </w:pPr>
    </w:p>
    <w:p w:rsidR="00FF3C1F" w:rsidRDefault="00FF3C1F" w:rsidP="00D621F8">
      <w:pPr>
        <w:widowControl w:val="0"/>
        <w:autoSpaceDE w:val="0"/>
        <w:autoSpaceDN w:val="0"/>
        <w:adjustRightInd w:val="0"/>
        <w:ind w:left="1425"/>
      </w:pPr>
      <w:r>
        <w:t>In this equation, "H" is average depth of flow in feet, "V" is stream average velocity in feet per second, and "S" is the dimensionless parameter, stream slope, ft./ft.  Velocity and average depth of flow may not be estimated but must be field measured at the 7-day 10-year low flow stream condition or computed from field measurements of stream geometry (cross sections and slopes using ordinary principles of open-channel hydraulics).  Significant changes in stream geometry will change average velocity and average depth of flow.  K</w:t>
      </w:r>
      <w:r w:rsidRPr="00591FDE">
        <w:rPr>
          <w:vertAlign w:val="subscript"/>
        </w:rPr>
        <w:t>2</w:t>
      </w:r>
      <w:r>
        <w:t xml:space="preserve"> must be computed for each stream segment as defined in Appendix C. </w:t>
      </w:r>
    </w:p>
    <w:p w:rsidR="00FF3C1F" w:rsidRDefault="00FF3C1F" w:rsidP="00FF3C1F">
      <w:pPr>
        <w:widowControl w:val="0"/>
        <w:autoSpaceDE w:val="0"/>
        <w:autoSpaceDN w:val="0"/>
        <w:adjustRightInd w:val="0"/>
        <w:ind w:left="1440" w:hanging="720"/>
      </w:pPr>
    </w:p>
    <w:p w:rsidR="00FF3C1F" w:rsidRDefault="00FF3C1F" w:rsidP="00FF3C1F">
      <w:pPr>
        <w:widowControl w:val="0"/>
        <w:autoSpaceDE w:val="0"/>
        <w:autoSpaceDN w:val="0"/>
        <w:adjustRightInd w:val="0"/>
        <w:ind w:left="1440" w:hanging="720"/>
      </w:pPr>
      <w:r>
        <w:t>e)</w:t>
      </w:r>
      <w:r>
        <w:tab/>
        <w:t>e = the Naperian logarithm base, dimensionless; e = 2.71828...</w:t>
      </w:r>
      <w:r w:rsidR="00D621F8">
        <w:t>.</w:t>
      </w:r>
      <w:r>
        <w:t xml:space="preserve"> </w:t>
      </w:r>
    </w:p>
    <w:p w:rsidR="00FF3C1F" w:rsidRDefault="00FF3C1F" w:rsidP="00FF3C1F">
      <w:pPr>
        <w:widowControl w:val="0"/>
        <w:autoSpaceDE w:val="0"/>
        <w:autoSpaceDN w:val="0"/>
        <w:adjustRightInd w:val="0"/>
        <w:ind w:left="1440" w:hanging="720"/>
      </w:pPr>
    </w:p>
    <w:p w:rsidR="00FF3C1F" w:rsidRDefault="00FF3C1F" w:rsidP="00FF3C1F">
      <w:pPr>
        <w:widowControl w:val="0"/>
        <w:autoSpaceDE w:val="0"/>
        <w:autoSpaceDN w:val="0"/>
        <w:adjustRightInd w:val="0"/>
        <w:ind w:left="1440" w:hanging="720"/>
      </w:pPr>
      <w:r>
        <w:t>f)</w:t>
      </w:r>
      <w:r>
        <w:tab/>
        <w:t xml:space="preserve">t =  time; units = days. </w:t>
      </w:r>
    </w:p>
    <w:p w:rsidR="00FF3C1F" w:rsidRDefault="00FF3C1F" w:rsidP="00FF3C1F">
      <w:pPr>
        <w:widowControl w:val="0"/>
        <w:autoSpaceDE w:val="0"/>
        <w:autoSpaceDN w:val="0"/>
        <w:adjustRightInd w:val="0"/>
        <w:ind w:left="1440" w:hanging="720"/>
      </w:pPr>
    </w:p>
    <w:p w:rsidR="00FF3C1F" w:rsidRDefault="00FF3C1F" w:rsidP="00FF3C1F">
      <w:pPr>
        <w:widowControl w:val="0"/>
        <w:autoSpaceDE w:val="0"/>
        <w:autoSpaceDN w:val="0"/>
        <w:adjustRightInd w:val="0"/>
        <w:ind w:left="1440" w:hanging="720"/>
      </w:pPr>
      <w:r>
        <w:t>g)</w:t>
      </w:r>
      <w:r>
        <w:tab/>
        <w:t>K</w:t>
      </w:r>
      <w:r w:rsidRPr="00D621F8">
        <w:rPr>
          <w:vertAlign w:val="subscript"/>
        </w:rPr>
        <w:t>n</w:t>
      </w:r>
      <w:r>
        <w:t xml:space="preserve"> = nitrogenous decay constant; units = 1/day; this constant describes the rate at which nitrogenous BOD is utilized in a stream.  Its value may be determined experimentally for a specific effluent and a specific stream.  Previous experimental work has established a range of typical values for K</w:t>
      </w:r>
      <w:r w:rsidRPr="00D621F8">
        <w:rPr>
          <w:vertAlign w:val="subscript"/>
        </w:rPr>
        <w:t>n</w:t>
      </w:r>
      <w:r>
        <w:t xml:space="preserve"> of 0.25 to 0.37 per day with an average of 0.29 per day.  It should be noted that the higher values of K</w:t>
      </w:r>
      <w:r w:rsidRPr="00D621F8">
        <w:rPr>
          <w:vertAlign w:val="subscript"/>
        </w:rPr>
        <w:t>n</w:t>
      </w:r>
      <w:r>
        <w:t xml:space="preserve"> yield generally more conservative results when applied to the Streeter-Phelps Equation. </w:t>
      </w:r>
    </w:p>
    <w:p w:rsidR="00FF3C1F" w:rsidRDefault="00FF3C1F" w:rsidP="00FF3C1F">
      <w:pPr>
        <w:widowControl w:val="0"/>
        <w:autoSpaceDE w:val="0"/>
        <w:autoSpaceDN w:val="0"/>
        <w:adjustRightInd w:val="0"/>
        <w:ind w:left="1440" w:hanging="720"/>
      </w:pPr>
    </w:p>
    <w:p w:rsidR="00FF3C1F" w:rsidRDefault="00FF3C1F" w:rsidP="00FF3C1F">
      <w:pPr>
        <w:widowControl w:val="0"/>
        <w:autoSpaceDE w:val="0"/>
        <w:autoSpaceDN w:val="0"/>
        <w:adjustRightInd w:val="0"/>
        <w:ind w:left="1440" w:hanging="720"/>
      </w:pPr>
      <w:r>
        <w:t>h)</w:t>
      </w:r>
      <w:r>
        <w:tab/>
        <w:t>L</w:t>
      </w:r>
      <w:r w:rsidRPr="00591FDE">
        <w:rPr>
          <w:vertAlign w:val="subscript"/>
        </w:rPr>
        <w:t>an</w:t>
      </w:r>
      <w:r>
        <w:t xml:space="preserve"> = ultimate nitrogenous demand; units = mg/l; this term may be calculated, once the initial ammonia nitrogen concentration is established, by use of the following formula: </w:t>
      </w:r>
    </w:p>
    <w:p w:rsidR="00FF3C1F" w:rsidRDefault="00FF3C1F" w:rsidP="00FF3C1F">
      <w:pPr>
        <w:widowControl w:val="0"/>
        <w:autoSpaceDE w:val="0"/>
        <w:autoSpaceDN w:val="0"/>
        <w:adjustRightInd w:val="0"/>
        <w:ind w:left="1440" w:hanging="720"/>
      </w:pPr>
    </w:p>
    <w:tbl>
      <w:tblPr>
        <w:tblW w:w="0" w:type="auto"/>
        <w:tblInd w:w="2046" w:type="dxa"/>
        <w:tblLook w:val="0000" w:firstRow="0" w:lastRow="0" w:firstColumn="0" w:lastColumn="0" w:noHBand="0" w:noVBand="0"/>
      </w:tblPr>
      <w:tblGrid>
        <w:gridCol w:w="514"/>
        <w:gridCol w:w="236"/>
        <w:gridCol w:w="4038"/>
      </w:tblGrid>
      <w:tr w:rsidR="00D621F8">
        <w:tblPrEx>
          <w:tblCellMar>
            <w:top w:w="0" w:type="dxa"/>
            <w:bottom w:w="0" w:type="dxa"/>
          </w:tblCellMar>
        </w:tblPrEx>
        <w:trPr>
          <w:trHeight w:val="540"/>
        </w:trPr>
        <w:tc>
          <w:tcPr>
            <w:tcW w:w="514" w:type="dxa"/>
            <w:vAlign w:val="center"/>
          </w:tcPr>
          <w:p w:rsidR="00D621F8" w:rsidRPr="00D621F8" w:rsidRDefault="00D621F8" w:rsidP="00D621F8">
            <w:pPr>
              <w:widowControl w:val="0"/>
              <w:autoSpaceDE w:val="0"/>
              <w:autoSpaceDN w:val="0"/>
              <w:adjustRightInd w:val="0"/>
              <w:ind w:left="-138" w:right="-104"/>
              <w:jc w:val="center"/>
              <w:rPr>
                <w:vertAlign w:val="subscript"/>
              </w:rPr>
            </w:pPr>
            <w:r>
              <w:t>L</w:t>
            </w:r>
            <w:r>
              <w:rPr>
                <w:vertAlign w:val="subscript"/>
              </w:rPr>
              <w:t>an</w:t>
            </w:r>
          </w:p>
        </w:tc>
        <w:tc>
          <w:tcPr>
            <w:tcW w:w="236" w:type="dxa"/>
            <w:vAlign w:val="center"/>
          </w:tcPr>
          <w:p w:rsidR="00D621F8" w:rsidRDefault="00D621F8" w:rsidP="00D621F8">
            <w:pPr>
              <w:widowControl w:val="0"/>
              <w:autoSpaceDE w:val="0"/>
              <w:autoSpaceDN w:val="0"/>
              <w:adjustRightInd w:val="0"/>
              <w:ind w:left="-148" w:right="-112"/>
              <w:jc w:val="center"/>
            </w:pPr>
            <w:r>
              <w:t>=</w:t>
            </w:r>
          </w:p>
        </w:tc>
        <w:tc>
          <w:tcPr>
            <w:tcW w:w="4038" w:type="dxa"/>
            <w:vAlign w:val="center"/>
          </w:tcPr>
          <w:p w:rsidR="00D621F8" w:rsidRDefault="00D621F8" w:rsidP="00D621F8">
            <w:pPr>
              <w:widowControl w:val="0"/>
              <w:autoSpaceDE w:val="0"/>
              <w:autoSpaceDN w:val="0"/>
              <w:adjustRightInd w:val="0"/>
              <w:ind w:left="-33" w:right="-87"/>
            </w:pPr>
            <w:r>
              <w:t>4.57 (Amm-N concentration in mg/l).</w:t>
            </w:r>
          </w:p>
        </w:tc>
      </w:tr>
    </w:tbl>
    <w:p w:rsidR="00D621F8" w:rsidRDefault="00D621F8" w:rsidP="00FF3C1F">
      <w:pPr>
        <w:widowControl w:val="0"/>
        <w:autoSpaceDE w:val="0"/>
        <w:autoSpaceDN w:val="0"/>
        <w:adjustRightInd w:val="0"/>
        <w:ind w:left="1440" w:hanging="720"/>
      </w:pPr>
    </w:p>
    <w:p w:rsidR="00FF3C1F" w:rsidRDefault="00FF3C1F" w:rsidP="00CC20D9">
      <w:pPr>
        <w:widowControl w:val="0"/>
        <w:numPr>
          <w:ilvl w:val="0"/>
          <w:numId w:val="8"/>
        </w:numPr>
        <w:autoSpaceDE w:val="0"/>
        <w:autoSpaceDN w:val="0"/>
        <w:adjustRightInd w:val="0"/>
      </w:pPr>
      <w:r>
        <w:t>t</w:t>
      </w:r>
      <w:r w:rsidR="00D621F8">
        <w:rPr>
          <w:vertAlign w:val="subscript"/>
        </w:rPr>
        <w:t>0</w:t>
      </w:r>
      <w:r>
        <w:t xml:space="preserve"> = nitrogenous lag time; units = days; when a waste contains both carbonaceous and nitrogenous oxygen demand, there is usually a time lag before the onset of nitrogenous oxygen demand.  The time lag may typically vary from 0-10 days with its actual value dependent upon the complex chemical characteristics of the waste as well as various stream characteristics.  The value of t</w:t>
      </w:r>
      <w:r w:rsidR="00D621F8" w:rsidRPr="00D621F8">
        <w:rPr>
          <w:vertAlign w:val="subscript"/>
        </w:rPr>
        <w:t>0</w:t>
      </w:r>
      <w:r>
        <w:t xml:space="preserve"> may be experimentally determined where effluent or stream field measurements are practicable.  In the case of well nitrified effluents, the value of t</w:t>
      </w:r>
      <w:r w:rsidRPr="00D621F8">
        <w:rPr>
          <w:vertAlign w:val="subscript"/>
        </w:rPr>
        <w:t>0</w:t>
      </w:r>
      <w:r>
        <w:t xml:space="preserve"> may generally be considered to be less than 1 day.  Note that for t less than t0 the nitrogenous term, </w:t>
      </w:r>
    </w:p>
    <w:p w:rsidR="00CC20D9" w:rsidRDefault="00CC20D9" w:rsidP="00CC20D9">
      <w:pPr>
        <w:widowControl w:val="0"/>
        <w:autoSpaceDE w:val="0"/>
        <w:autoSpaceDN w:val="0"/>
        <w:adjustRightInd w:val="0"/>
        <w:ind w:left="720"/>
      </w:pPr>
    </w:p>
    <w:tbl>
      <w:tblPr>
        <w:tblW w:w="0" w:type="auto"/>
        <w:tblInd w:w="2160" w:type="dxa"/>
        <w:tblLook w:val="0000" w:firstRow="0" w:lastRow="0" w:firstColumn="0" w:lastColumn="0" w:noHBand="0" w:noVBand="0"/>
      </w:tblPr>
      <w:tblGrid>
        <w:gridCol w:w="738"/>
        <w:gridCol w:w="243"/>
        <w:gridCol w:w="242"/>
        <w:gridCol w:w="715"/>
        <w:gridCol w:w="236"/>
        <w:gridCol w:w="236"/>
        <w:gridCol w:w="725"/>
        <w:gridCol w:w="236"/>
      </w:tblGrid>
      <w:tr w:rsidR="00CC20D9">
        <w:tblPrEx>
          <w:tblCellMar>
            <w:top w:w="0" w:type="dxa"/>
            <w:bottom w:w="0" w:type="dxa"/>
          </w:tblCellMar>
        </w:tblPrEx>
        <w:tc>
          <w:tcPr>
            <w:tcW w:w="738" w:type="dxa"/>
            <w:tcBorders>
              <w:bottom w:val="single" w:sz="4" w:space="0" w:color="auto"/>
            </w:tcBorders>
            <w:vAlign w:val="bottom"/>
          </w:tcPr>
          <w:p w:rsidR="00CC20D9" w:rsidRPr="00D621F8" w:rsidRDefault="00CC20D9" w:rsidP="00D621F8">
            <w:pPr>
              <w:widowControl w:val="0"/>
              <w:autoSpaceDE w:val="0"/>
              <w:autoSpaceDN w:val="0"/>
              <w:adjustRightInd w:val="0"/>
              <w:ind w:left="-108" w:right="-112"/>
              <w:jc w:val="center"/>
              <w:rPr>
                <w:vertAlign w:val="subscript"/>
              </w:rPr>
            </w:pPr>
            <w:r>
              <w:t>K</w:t>
            </w:r>
            <w:r w:rsidRPr="00D621F8">
              <w:rPr>
                <w:vertAlign w:val="subscript"/>
              </w:rPr>
              <w:t>n</w:t>
            </w:r>
            <w:r>
              <w:t>L</w:t>
            </w:r>
            <w:r>
              <w:rPr>
                <w:vertAlign w:val="subscript"/>
              </w:rPr>
              <w:t>an</w:t>
            </w:r>
          </w:p>
        </w:tc>
        <w:tc>
          <w:tcPr>
            <w:tcW w:w="243" w:type="dxa"/>
            <w:vMerge w:val="restart"/>
            <w:vAlign w:val="center"/>
          </w:tcPr>
          <w:p w:rsidR="00CC20D9" w:rsidRPr="00D621F8" w:rsidRDefault="00CC20D9" w:rsidP="00CC20D9">
            <w:pPr>
              <w:widowControl w:val="0"/>
              <w:autoSpaceDE w:val="0"/>
              <w:autoSpaceDN w:val="0"/>
              <w:adjustRightInd w:val="0"/>
              <w:ind w:left="-126" w:right="-83"/>
              <w:jc w:val="right"/>
              <w:rPr>
                <w:rFonts w:ascii="Arial Narrow" w:hAnsi="Arial Narrow" w:cs="Arial Narrow"/>
                <w:sz w:val="48"/>
                <w:szCs w:val="48"/>
              </w:rPr>
            </w:pPr>
            <w:r w:rsidRPr="00D621F8">
              <w:rPr>
                <w:rFonts w:ascii="Arial Narrow" w:hAnsi="Arial Narrow" w:cs="Arial Narrow"/>
                <w:sz w:val="48"/>
                <w:szCs w:val="48"/>
              </w:rPr>
              <w:t>(</w:t>
            </w:r>
          </w:p>
        </w:tc>
        <w:tc>
          <w:tcPr>
            <w:tcW w:w="242" w:type="dxa"/>
            <w:vMerge w:val="restart"/>
            <w:vAlign w:val="center"/>
          </w:tcPr>
          <w:p w:rsidR="00CC20D9" w:rsidRDefault="00CC20D9" w:rsidP="00D0764E">
            <w:pPr>
              <w:widowControl w:val="0"/>
              <w:autoSpaceDE w:val="0"/>
              <w:autoSpaceDN w:val="0"/>
              <w:adjustRightInd w:val="0"/>
              <w:ind w:left="-820" w:right="-82"/>
              <w:jc w:val="right"/>
            </w:pPr>
            <w:r>
              <w:t>e</w:t>
            </w:r>
          </w:p>
        </w:tc>
        <w:tc>
          <w:tcPr>
            <w:tcW w:w="715" w:type="dxa"/>
          </w:tcPr>
          <w:p w:rsidR="00CC20D9" w:rsidRPr="00CC20D9" w:rsidRDefault="00CC20D9" w:rsidP="0015569E">
            <w:pPr>
              <w:widowControl w:val="0"/>
              <w:autoSpaceDE w:val="0"/>
              <w:autoSpaceDN w:val="0"/>
              <w:adjustRightInd w:val="0"/>
              <w:ind w:left="-134" w:right="-90"/>
              <w:rPr>
                <w:sz w:val="20"/>
                <w:szCs w:val="20"/>
              </w:rPr>
            </w:pPr>
            <w:r w:rsidRPr="00CC20D9">
              <w:rPr>
                <w:sz w:val="20"/>
                <w:szCs w:val="20"/>
              </w:rPr>
              <w:t>-K</w:t>
            </w:r>
            <w:r w:rsidRPr="00CC20D9">
              <w:rPr>
                <w:sz w:val="20"/>
                <w:szCs w:val="20"/>
                <w:vertAlign w:val="subscript"/>
              </w:rPr>
              <w:t>n</w:t>
            </w:r>
            <w:r w:rsidRPr="00CC20D9">
              <w:rPr>
                <w:sz w:val="20"/>
                <w:szCs w:val="20"/>
              </w:rPr>
              <w:t xml:space="preserve"> (t-t</w:t>
            </w:r>
            <w:r w:rsidRPr="00CC20D9">
              <w:rPr>
                <w:sz w:val="20"/>
                <w:szCs w:val="20"/>
                <w:vertAlign w:val="subscript"/>
              </w:rPr>
              <w:t>0</w:t>
            </w:r>
            <w:r w:rsidRPr="00CC20D9">
              <w:rPr>
                <w:sz w:val="20"/>
                <w:szCs w:val="20"/>
              </w:rPr>
              <w:t>)</w:t>
            </w:r>
          </w:p>
        </w:tc>
        <w:tc>
          <w:tcPr>
            <w:tcW w:w="236" w:type="dxa"/>
            <w:vMerge w:val="restart"/>
            <w:vAlign w:val="center"/>
          </w:tcPr>
          <w:p w:rsidR="00CC20D9" w:rsidRDefault="00CC20D9" w:rsidP="00CC20D9">
            <w:pPr>
              <w:widowControl w:val="0"/>
              <w:autoSpaceDE w:val="0"/>
              <w:autoSpaceDN w:val="0"/>
              <w:adjustRightInd w:val="0"/>
              <w:ind w:left="-108" w:right="-99"/>
              <w:jc w:val="center"/>
            </w:pPr>
            <w:r>
              <w:t>-</w:t>
            </w:r>
          </w:p>
        </w:tc>
        <w:tc>
          <w:tcPr>
            <w:tcW w:w="236" w:type="dxa"/>
            <w:vMerge w:val="restart"/>
            <w:vAlign w:val="center"/>
          </w:tcPr>
          <w:p w:rsidR="00CC20D9" w:rsidRDefault="00CC20D9" w:rsidP="00CC20D9">
            <w:pPr>
              <w:widowControl w:val="0"/>
              <w:autoSpaceDE w:val="0"/>
              <w:autoSpaceDN w:val="0"/>
              <w:adjustRightInd w:val="0"/>
              <w:ind w:left="-108" w:right="-99"/>
              <w:jc w:val="right"/>
            </w:pPr>
            <w:r>
              <w:t>e</w:t>
            </w:r>
          </w:p>
        </w:tc>
        <w:tc>
          <w:tcPr>
            <w:tcW w:w="725" w:type="dxa"/>
          </w:tcPr>
          <w:p w:rsidR="00CC20D9" w:rsidRPr="00CC20D9" w:rsidRDefault="00CC20D9" w:rsidP="00675709">
            <w:pPr>
              <w:widowControl w:val="0"/>
              <w:autoSpaceDE w:val="0"/>
              <w:autoSpaceDN w:val="0"/>
              <w:adjustRightInd w:val="0"/>
              <w:ind w:left="-108" w:right="-96"/>
              <w:rPr>
                <w:sz w:val="20"/>
                <w:szCs w:val="20"/>
              </w:rPr>
            </w:pPr>
            <w:r w:rsidRPr="00CC20D9">
              <w:rPr>
                <w:sz w:val="20"/>
                <w:szCs w:val="20"/>
              </w:rPr>
              <w:t>-K</w:t>
            </w:r>
            <w:r w:rsidRPr="00CC20D9">
              <w:rPr>
                <w:sz w:val="20"/>
                <w:szCs w:val="20"/>
                <w:vertAlign w:val="subscript"/>
              </w:rPr>
              <w:t xml:space="preserve">2 </w:t>
            </w:r>
            <w:r w:rsidRPr="00CC20D9">
              <w:rPr>
                <w:sz w:val="20"/>
                <w:szCs w:val="20"/>
              </w:rPr>
              <w:t>(t-t</w:t>
            </w:r>
            <w:r w:rsidRPr="00CC20D9">
              <w:rPr>
                <w:sz w:val="20"/>
                <w:szCs w:val="20"/>
                <w:vertAlign w:val="subscript"/>
              </w:rPr>
              <w:t>0</w:t>
            </w:r>
            <w:r w:rsidRPr="00CC20D9">
              <w:rPr>
                <w:sz w:val="20"/>
                <w:szCs w:val="20"/>
              </w:rPr>
              <w:t>)</w:t>
            </w:r>
          </w:p>
        </w:tc>
        <w:tc>
          <w:tcPr>
            <w:tcW w:w="236" w:type="dxa"/>
            <w:vMerge w:val="restart"/>
          </w:tcPr>
          <w:p w:rsidR="00CC20D9" w:rsidRDefault="00CC20D9" w:rsidP="00CC20D9">
            <w:pPr>
              <w:widowControl w:val="0"/>
              <w:autoSpaceDE w:val="0"/>
              <w:autoSpaceDN w:val="0"/>
              <w:adjustRightInd w:val="0"/>
              <w:ind w:left="-108" w:right="-102"/>
              <w:jc w:val="center"/>
            </w:pPr>
            <w:r>
              <w:rPr>
                <w:rFonts w:ascii="Arial Narrow" w:hAnsi="Arial Narrow" w:cs="Arial Narrow"/>
                <w:sz w:val="48"/>
                <w:szCs w:val="48"/>
              </w:rPr>
              <w:t>)</w:t>
            </w:r>
          </w:p>
        </w:tc>
      </w:tr>
      <w:tr w:rsidR="00CC20D9">
        <w:tblPrEx>
          <w:tblCellMar>
            <w:top w:w="0" w:type="dxa"/>
            <w:bottom w:w="0" w:type="dxa"/>
          </w:tblCellMar>
        </w:tblPrEx>
        <w:tc>
          <w:tcPr>
            <w:tcW w:w="738" w:type="dxa"/>
            <w:tcBorders>
              <w:top w:val="single" w:sz="4" w:space="0" w:color="auto"/>
            </w:tcBorders>
          </w:tcPr>
          <w:p w:rsidR="00CC20D9" w:rsidRPr="00D621F8" w:rsidRDefault="00CC20D9" w:rsidP="00D621F8">
            <w:pPr>
              <w:widowControl w:val="0"/>
              <w:autoSpaceDE w:val="0"/>
              <w:autoSpaceDN w:val="0"/>
              <w:adjustRightInd w:val="0"/>
              <w:ind w:left="-108" w:right="-112"/>
              <w:jc w:val="center"/>
              <w:rPr>
                <w:vertAlign w:val="subscript"/>
              </w:rPr>
            </w:pPr>
            <w:r>
              <w:t>K</w:t>
            </w:r>
            <w:r>
              <w:rPr>
                <w:vertAlign w:val="subscript"/>
              </w:rPr>
              <w:t>2</w:t>
            </w:r>
            <w:r>
              <w:t xml:space="preserve"> - K</w:t>
            </w:r>
            <w:r>
              <w:rPr>
                <w:vertAlign w:val="subscript"/>
              </w:rPr>
              <w:t>n</w:t>
            </w:r>
          </w:p>
        </w:tc>
        <w:tc>
          <w:tcPr>
            <w:tcW w:w="243" w:type="dxa"/>
            <w:vMerge/>
          </w:tcPr>
          <w:p w:rsidR="00CC20D9" w:rsidRDefault="00CC20D9" w:rsidP="00CC20D9">
            <w:pPr>
              <w:widowControl w:val="0"/>
              <w:autoSpaceDE w:val="0"/>
              <w:autoSpaceDN w:val="0"/>
              <w:adjustRightInd w:val="0"/>
              <w:ind w:left="-126" w:right="-83"/>
            </w:pPr>
          </w:p>
        </w:tc>
        <w:tc>
          <w:tcPr>
            <w:tcW w:w="242" w:type="dxa"/>
            <w:vMerge/>
          </w:tcPr>
          <w:p w:rsidR="00CC20D9" w:rsidRDefault="00CC20D9" w:rsidP="00D621F8">
            <w:pPr>
              <w:widowControl w:val="0"/>
              <w:autoSpaceDE w:val="0"/>
              <w:autoSpaceDN w:val="0"/>
              <w:adjustRightInd w:val="0"/>
              <w:ind w:left="-975" w:right="-79"/>
              <w:jc w:val="right"/>
            </w:pPr>
          </w:p>
        </w:tc>
        <w:tc>
          <w:tcPr>
            <w:tcW w:w="715" w:type="dxa"/>
          </w:tcPr>
          <w:p w:rsidR="00CC20D9" w:rsidRDefault="00CC20D9" w:rsidP="00D621F8">
            <w:pPr>
              <w:widowControl w:val="0"/>
              <w:autoSpaceDE w:val="0"/>
              <w:autoSpaceDN w:val="0"/>
              <w:adjustRightInd w:val="0"/>
              <w:ind w:left="-119" w:right="-90"/>
            </w:pPr>
          </w:p>
        </w:tc>
        <w:tc>
          <w:tcPr>
            <w:tcW w:w="236" w:type="dxa"/>
            <w:vMerge/>
          </w:tcPr>
          <w:p w:rsidR="00CC20D9" w:rsidRDefault="00CC20D9" w:rsidP="00CC20D9">
            <w:pPr>
              <w:widowControl w:val="0"/>
              <w:autoSpaceDE w:val="0"/>
              <w:autoSpaceDN w:val="0"/>
              <w:adjustRightInd w:val="0"/>
              <w:ind w:left="-81" w:right="-99"/>
              <w:jc w:val="center"/>
            </w:pPr>
          </w:p>
        </w:tc>
        <w:tc>
          <w:tcPr>
            <w:tcW w:w="236" w:type="dxa"/>
            <w:vMerge/>
          </w:tcPr>
          <w:p w:rsidR="00CC20D9" w:rsidRDefault="00CC20D9" w:rsidP="00675709">
            <w:pPr>
              <w:widowControl w:val="0"/>
              <w:autoSpaceDE w:val="0"/>
              <w:autoSpaceDN w:val="0"/>
              <w:adjustRightInd w:val="0"/>
              <w:ind w:left="-81" w:right="-99"/>
            </w:pPr>
          </w:p>
        </w:tc>
        <w:tc>
          <w:tcPr>
            <w:tcW w:w="725" w:type="dxa"/>
          </w:tcPr>
          <w:p w:rsidR="00CC20D9" w:rsidRDefault="00CC20D9" w:rsidP="00675709">
            <w:pPr>
              <w:widowControl w:val="0"/>
              <w:autoSpaceDE w:val="0"/>
              <w:autoSpaceDN w:val="0"/>
              <w:adjustRightInd w:val="0"/>
              <w:ind w:left="-108" w:right="-96"/>
            </w:pPr>
          </w:p>
        </w:tc>
        <w:tc>
          <w:tcPr>
            <w:tcW w:w="236" w:type="dxa"/>
            <w:vMerge/>
          </w:tcPr>
          <w:p w:rsidR="00CC20D9" w:rsidRDefault="00CC20D9" w:rsidP="00CC20D9">
            <w:pPr>
              <w:widowControl w:val="0"/>
              <w:autoSpaceDE w:val="0"/>
              <w:autoSpaceDN w:val="0"/>
              <w:adjustRightInd w:val="0"/>
              <w:ind w:left="-108" w:right="-102"/>
              <w:jc w:val="center"/>
            </w:pPr>
          </w:p>
        </w:tc>
      </w:tr>
    </w:tbl>
    <w:p w:rsidR="00FF3C1F" w:rsidRDefault="00FF3C1F" w:rsidP="00FF3C1F">
      <w:pPr>
        <w:widowControl w:val="0"/>
        <w:autoSpaceDE w:val="0"/>
        <w:autoSpaceDN w:val="0"/>
        <w:adjustRightInd w:val="0"/>
        <w:ind w:left="1440" w:hanging="720"/>
      </w:pPr>
    </w:p>
    <w:p w:rsidR="00FF3C1F" w:rsidRDefault="00FF3C1F" w:rsidP="00675709">
      <w:pPr>
        <w:widowControl w:val="0"/>
        <w:autoSpaceDE w:val="0"/>
        <w:autoSpaceDN w:val="0"/>
        <w:adjustRightInd w:val="0"/>
        <w:ind w:left="1440"/>
      </w:pPr>
      <w:r>
        <w:t xml:space="preserve">does not enter into the calculation of D. </w:t>
      </w:r>
    </w:p>
    <w:p w:rsidR="00FF3C1F" w:rsidRDefault="00FF3C1F" w:rsidP="00FF3C1F">
      <w:pPr>
        <w:widowControl w:val="0"/>
        <w:autoSpaceDE w:val="0"/>
        <w:autoSpaceDN w:val="0"/>
        <w:adjustRightInd w:val="0"/>
        <w:ind w:left="1440" w:hanging="720"/>
      </w:pPr>
      <w:r>
        <w:t>j)</w:t>
      </w:r>
      <w:r>
        <w:tab/>
        <w:t>D</w:t>
      </w:r>
      <w:r w:rsidRPr="00591FDE">
        <w:rPr>
          <w:vertAlign w:val="subscript"/>
        </w:rPr>
        <w:t>a</w:t>
      </w:r>
      <w:r>
        <w:t xml:space="preserve"> </w:t>
      </w:r>
      <w:r w:rsidR="00EF23F6">
        <w:t>=</w:t>
      </w:r>
      <w:r>
        <w:t xml:space="preserve"> initial dissolved oxygen deficit; units = mg/l.  Determined by subtracting assumed effluent dissolved oxygen concentration of 6.0 mg/l from dissolved oxygen saturation value at the expected maximum stream temperature. </w:t>
      </w:r>
    </w:p>
    <w:p w:rsidR="00675709" w:rsidRDefault="00675709" w:rsidP="00FF3C1F">
      <w:pPr>
        <w:widowControl w:val="0"/>
        <w:autoSpaceDE w:val="0"/>
        <w:autoSpaceDN w:val="0"/>
        <w:adjustRightInd w:val="0"/>
      </w:pPr>
    </w:p>
    <w:p w:rsidR="00FF3C1F" w:rsidRDefault="00FF3C1F" w:rsidP="00FF3C1F">
      <w:pPr>
        <w:widowControl w:val="0"/>
        <w:autoSpaceDE w:val="0"/>
        <w:autoSpaceDN w:val="0"/>
        <w:adjustRightInd w:val="0"/>
      </w:pPr>
      <w:r>
        <w:t xml:space="preserve">Temperature Adjustments </w:t>
      </w:r>
    </w:p>
    <w:p w:rsidR="00675709" w:rsidRDefault="00675709" w:rsidP="00FF3C1F">
      <w:pPr>
        <w:widowControl w:val="0"/>
        <w:autoSpaceDE w:val="0"/>
        <w:autoSpaceDN w:val="0"/>
        <w:adjustRightInd w:val="0"/>
      </w:pPr>
    </w:p>
    <w:p w:rsidR="00FF3C1F" w:rsidRDefault="00FF3C1F" w:rsidP="00FF3C1F">
      <w:pPr>
        <w:widowControl w:val="0"/>
        <w:autoSpaceDE w:val="0"/>
        <w:autoSpaceDN w:val="0"/>
        <w:adjustRightInd w:val="0"/>
      </w:pPr>
      <w:r>
        <w:t>K</w:t>
      </w:r>
      <w:r w:rsidRPr="00675709">
        <w:rPr>
          <w:vertAlign w:val="subscript"/>
        </w:rPr>
        <w:t>C</w:t>
      </w:r>
      <w:r>
        <w:t>,</w:t>
      </w:r>
      <w:r w:rsidR="00675709">
        <w:t xml:space="preserve"> </w:t>
      </w:r>
      <w:r>
        <w:t>K</w:t>
      </w:r>
      <w:r w:rsidRPr="00591FDE">
        <w:rPr>
          <w:vertAlign w:val="subscript"/>
        </w:rPr>
        <w:t>2</w:t>
      </w:r>
      <w:r>
        <w:t>,</w:t>
      </w:r>
      <w:r w:rsidR="00675709">
        <w:t xml:space="preserve"> </w:t>
      </w:r>
      <w:r>
        <w:t>K</w:t>
      </w:r>
      <w:r w:rsidRPr="00591FDE">
        <w:rPr>
          <w:vertAlign w:val="subscript"/>
        </w:rPr>
        <w:t>n</w:t>
      </w:r>
      <w:r>
        <w:t xml:space="preserve"> and L</w:t>
      </w:r>
      <w:r w:rsidRPr="00591FDE">
        <w:rPr>
          <w:vertAlign w:val="subscript"/>
        </w:rPr>
        <w:t>ac</w:t>
      </w:r>
      <w:r>
        <w:t xml:space="preserve"> are temperature dependent quantities.  The values calculated in accordance with the above are 20 degree Celsius values. Since the saturation D.O. decreases with increasing temperature, it will be necessary to adjust the parameters K</w:t>
      </w:r>
      <w:r w:rsidRPr="00591FDE">
        <w:rPr>
          <w:vertAlign w:val="subscript"/>
        </w:rPr>
        <w:t>C</w:t>
      </w:r>
      <w:r>
        <w:t>,</w:t>
      </w:r>
      <w:r w:rsidR="00675709">
        <w:t xml:space="preserve"> </w:t>
      </w:r>
      <w:r>
        <w:t>K</w:t>
      </w:r>
      <w:r w:rsidRPr="00591FDE">
        <w:rPr>
          <w:vertAlign w:val="subscript"/>
        </w:rPr>
        <w:t>2</w:t>
      </w:r>
      <w:r>
        <w:t>,</w:t>
      </w:r>
      <w:r w:rsidR="00675709">
        <w:t xml:space="preserve"> </w:t>
      </w:r>
      <w:r>
        <w:t>K</w:t>
      </w:r>
      <w:r w:rsidRPr="00591FDE">
        <w:rPr>
          <w:vertAlign w:val="subscript"/>
        </w:rPr>
        <w:t>n</w:t>
      </w:r>
      <w:r>
        <w:t xml:space="preserve"> and L</w:t>
      </w:r>
      <w:r w:rsidRPr="00591FDE">
        <w:rPr>
          <w:vertAlign w:val="subscript"/>
        </w:rPr>
        <w:t>ac</w:t>
      </w:r>
      <w:r w:rsidRPr="00591FDE">
        <w:t xml:space="preserve"> </w:t>
      </w:r>
      <w:r>
        <w:t xml:space="preserve">to reflect the expected maximum stream temperature condition.  In the equations listed below, T is the expected maximum stream temperature in degrees Celsius. </w:t>
      </w:r>
    </w:p>
    <w:p w:rsidR="00FF3C1F" w:rsidRDefault="00FF3C1F" w:rsidP="00FF3C1F">
      <w:pPr>
        <w:widowControl w:val="0"/>
        <w:autoSpaceDE w:val="0"/>
        <w:autoSpaceDN w:val="0"/>
        <w:adjustRightInd w:val="0"/>
      </w:pPr>
    </w:p>
    <w:p w:rsidR="00FF3C1F" w:rsidRDefault="00FF3C1F" w:rsidP="00744B65">
      <w:pPr>
        <w:widowControl w:val="0"/>
        <w:autoSpaceDE w:val="0"/>
        <w:autoSpaceDN w:val="0"/>
        <w:adjustRightInd w:val="0"/>
        <w:ind w:left="1440"/>
      </w:pPr>
      <w:r>
        <w:t>a)</w:t>
      </w:r>
      <w:r>
        <w:tab/>
        <w:t>K</w:t>
      </w:r>
      <w:r w:rsidRPr="00591FDE">
        <w:rPr>
          <w:vertAlign w:val="subscript"/>
        </w:rPr>
        <w:t>c</w:t>
      </w:r>
      <w:r w:rsidRPr="00675709">
        <w:rPr>
          <w:vertAlign w:val="subscript"/>
        </w:rPr>
        <w:t>(T)</w:t>
      </w:r>
      <w:r>
        <w:t xml:space="preserve"> = K</w:t>
      </w:r>
      <w:r w:rsidRPr="00591FDE">
        <w:rPr>
          <w:vertAlign w:val="subscript"/>
        </w:rPr>
        <w:t>c</w:t>
      </w:r>
      <w:r>
        <w:t xml:space="preserve"> x 1.047</w:t>
      </w:r>
      <w:r w:rsidRPr="00675709">
        <w:rPr>
          <w:vertAlign w:val="superscript"/>
        </w:rPr>
        <w:t>(T-20)</w:t>
      </w:r>
      <w:r>
        <w:t xml:space="preserve"> </w:t>
      </w:r>
    </w:p>
    <w:p w:rsidR="00FF3C1F" w:rsidRDefault="00FF3C1F" w:rsidP="00FF3C1F">
      <w:pPr>
        <w:widowControl w:val="0"/>
        <w:autoSpaceDE w:val="0"/>
        <w:autoSpaceDN w:val="0"/>
        <w:adjustRightInd w:val="0"/>
        <w:ind w:left="1440" w:hanging="720"/>
      </w:pPr>
    </w:p>
    <w:p w:rsidR="00FF3C1F" w:rsidRDefault="00FF3C1F" w:rsidP="00744B65">
      <w:pPr>
        <w:widowControl w:val="0"/>
        <w:autoSpaceDE w:val="0"/>
        <w:autoSpaceDN w:val="0"/>
        <w:adjustRightInd w:val="0"/>
        <w:ind w:left="1440"/>
      </w:pPr>
      <w:r>
        <w:t>b)</w:t>
      </w:r>
      <w:r>
        <w:tab/>
        <w:t>K</w:t>
      </w:r>
      <w:r w:rsidRPr="00591FDE">
        <w:rPr>
          <w:vertAlign w:val="subscript"/>
        </w:rPr>
        <w:t>2</w:t>
      </w:r>
      <w:r w:rsidRPr="00675709">
        <w:rPr>
          <w:vertAlign w:val="subscript"/>
        </w:rPr>
        <w:t>(T)</w:t>
      </w:r>
      <w:r>
        <w:t xml:space="preserve"> = K</w:t>
      </w:r>
      <w:r w:rsidRPr="00591FDE">
        <w:rPr>
          <w:vertAlign w:val="subscript"/>
        </w:rPr>
        <w:t>2</w:t>
      </w:r>
      <w:r>
        <w:t xml:space="preserve"> x 1.024</w:t>
      </w:r>
      <w:r w:rsidRPr="00675709">
        <w:rPr>
          <w:vertAlign w:val="superscript"/>
        </w:rPr>
        <w:t>(T-20)</w:t>
      </w:r>
      <w:r>
        <w:t xml:space="preserve"> </w:t>
      </w:r>
    </w:p>
    <w:p w:rsidR="00FF3C1F" w:rsidRDefault="00FF3C1F" w:rsidP="00FF3C1F">
      <w:pPr>
        <w:widowControl w:val="0"/>
        <w:autoSpaceDE w:val="0"/>
        <w:autoSpaceDN w:val="0"/>
        <w:adjustRightInd w:val="0"/>
        <w:ind w:left="1440" w:hanging="720"/>
      </w:pPr>
    </w:p>
    <w:p w:rsidR="00FF3C1F" w:rsidRDefault="00FF3C1F" w:rsidP="00744B65">
      <w:pPr>
        <w:widowControl w:val="0"/>
        <w:autoSpaceDE w:val="0"/>
        <w:autoSpaceDN w:val="0"/>
        <w:adjustRightInd w:val="0"/>
        <w:ind w:left="1440"/>
      </w:pPr>
      <w:r>
        <w:t>c)</w:t>
      </w:r>
      <w:r>
        <w:tab/>
        <w:t>K</w:t>
      </w:r>
      <w:r w:rsidRPr="00591FDE">
        <w:rPr>
          <w:vertAlign w:val="subscript"/>
        </w:rPr>
        <w:t>n</w:t>
      </w:r>
      <w:r w:rsidRPr="00675709">
        <w:rPr>
          <w:vertAlign w:val="subscript"/>
        </w:rPr>
        <w:t>(T)</w:t>
      </w:r>
      <w:r>
        <w:t xml:space="preserve"> = K</w:t>
      </w:r>
      <w:r w:rsidRPr="00591FDE">
        <w:rPr>
          <w:vertAlign w:val="subscript"/>
        </w:rPr>
        <w:t>n</w:t>
      </w:r>
      <w:r>
        <w:t xml:space="preserve"> x 1.047</w:t>
      </w:r>
      <w:r w:rsidRPr="00675709">
        <w:rPr>
          <w:vertAlign w:val="superscript"/>
        </w:rPr>
        <w:t>(T-20)</w:t>
      </w:r>
      <w:r>
        <w:t xml:space="preserve"> </w:t>
      </w:r>
    </w:p>
    <w:p w:rsidR="00FF3C1F" w:rsidRDefault="00FF3C1F" w:rsidP="00FF3C1F">
      <w:pPr>
        <w:widowControl w:val="0"/>
        <w:autoSpaceDE w:val="0"/>
        <w:autoSpaceDN w:val="0"/>
        <w:adjustRightInd w:val="0"/>
        <w:ind w:left="1440" w:hanging="720"/>
      </w:pPr>
    </w:p>
    <w:p w:rsidR="00FF3C1F" w:rsidRDefault="00FF3C1F" w:rsidP="00744B65">
      <w:pPr>
        <w:widowControl w:val="0"/>
        <w:autoSpaceDE w:val="0"/>
        <w:autoSpaceDN w:val="0"/>
        <w:adjustRightInd w:val="0"/>
        <w:ind w:left="1440"/>
      </w:pPr>
      <w:r>
        <w:t>d)</w:t>
      </w:r>
      <w:r>
        <w:tab/>
        <w:t>L</w:t>
      </w:r>
      <w:r w:rsidRPr="00591FDE">
        <w:rPr>
          <w:vertAlign w:val="subscript"/>
        </w:rPr>
        <w:t>ac</w:t>
      </w:r>
      <w:r w:rsidRPr="00675709">
        <w:rPr>
          <w:vertAlign w:val="subscript"/>
        </w:rPr>
        <w:t>(T)</w:t>
      </w:r>
      <w:r>
        <w:t xml:space="preserve"> = L</w:t>
      </w:r>
      <w:r w:rsidRPr="00591FDE">
        <w:rPr>
          <w:vertAlign w:val="subscript"/>
        </w:rPr>
        <w:t>ac</w:t>
      </w:r>
      <w:r>
        <w:t xml:space="preserve"> (0.02T + 0.6) </w:t>
      </w:r>
    </w:p>
    <w:p w:rsidR="00675709" w:rsidRDefault="00675709" w:rsidP="00FF3C1F">
      <w:pPr>
        <w:widowControl w:val="0"/>
        <w:autoSpaceDE w:val="0"/>
        <w:autoSpaceDN w:val="0"/>
        <w:adjustRightInd w:val="0"/>
        <w:ind w:left="1440" w:hanging="720"/>
      </w:pPr>
    </w:p>
    <w:p w:rsidR="00FF3C1F" w:rsidRDefault="00FF3C1F" w:rsidP="00675709">
      <w:pPr>
        <w:widowControl w:val="0"/>
        <w:autoSpaceDE w:val="0"/>
        <w:autoSpaceDN w:val="0"/>
        <w:adjustRightInd w:val="0"/>
        <w:ind w:left="1440"/>
      </w:pPr>
      <w:r>
        <w:t xml:space="preserve">Since the time of the year at which the 7-day 10-year low flow occurs typically varies from stream to stream, it is not possible to prescribe a uniform maximum temperature adjustment throughout the state.  The maximum temperature should be ascertained from field measurements in the stream at the time of year at which 7-day 10-year low flow is expected to occur. IEPA ambient water quality monitoring network data are available for making such determination.  This data may be obtained by contacting the Division of Water Pollution Control. </w:t>
      </w:r>
    </w:p>
    <w:p w:rsidR="00FF3C1F" w:rsidRDefault="00FF3C1F" w:rsidP="00FF3C1F">
      <w:pPr>
        <w:widowControl w:val="0"/>
        <w:autoSpaceDE w:val="0"/>
        <w:autoSpaceDN w:val="0"/>
        <w:adjustRightInd w:val="0"/>
        <w:ind w:left="1440" w:hanging="720"/>
      </w:pPr>
    </w:p>
    <w:p w:rsidR="00FF3C1F" w:rsidRDefault="00FF3C1F" w:rsidP="00FF3C1F">
      <w:pPr>
        <w:widowControl w:val="0"/>
        <w:autoSpaceDE w:val="0"/>
        <w:autoSpaceDN w:val="0"/>
        <w:adjustRightInd w:val="0"/>
        <w:ind w:left="1440" w:hanging="720"/>
      </w:pPr>
      <w:r>
        <w:t xml:space="preserve">(Source:  Amended at 8 Ill. Reg. 3286, effective March 7, 1984) </w:t>
      </w:r>
    </w:p>
    <w:sectPr w:rsidR="00FF3C1F" w:rsidSect="00FF3C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Condense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A208E8"/>
    <w:lvl w:ilvl="0">
      <w:start w:val="1"/>
      <w:numFmt w:val="bullet"/>
      <w:lvlText w:val=""/>
      <w:lvlJc w:val="left"/>
      <w:pPr>
        <w:tabs>
          <w:tab w:val="num" w:pos="360"/>
        </w:tabs>
        <w:ind w:left="360" w:hanging="360"/>
      </w:pPr>
      <w:rPr>
        <w:rFonts w:ascii="Symbol" w:hAnsi="Symbol" w:cs="Symbol" w:hint="default"/>
      </w:rPr>
    </w:lvl>
  </w:abstractNum>
  <w:abstractNum w:abstractNumId="1">
    <w:nsid w:val="5855028C"/>
    <w:multiLevelType w:val="hybridMultilevel"/>
    <w:tmpl w:val="5268C04E"/>
    <w:lvl w:ilvl="0" w:tplc="C7B03E8E">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3C1F"/>
    <w:rsid w:val="00026FA1"/>
    <w:rsid w:val="00035F4F"/>
    <w:rsid w:val="000E638C"/>
    <w:rsid w:val="0015569E"/>
    <w:rsid w:val="001A5435"/>
    <w:rsid w:val="004F7E7B"/>
    <w:rsid w:val="00591FDE"/>
    <w:rsid w:val="005C3366"/>
    <w:rsid w:val="00650524"/>
    <w:rsid w:val="00675709"/>
    <w:rsid w:val="006C17D3"/>
    <w:rsid w:val="00744B65"/>
    <w:rsid w:val="0076226C"/>
    <w:rsid w:val="00770C65"/>
    <w:rsid w:val="00900EF9"/>
    <w:rsid w:val="00950F4A"/>
    <w:rsid w:val="009955FC"/>
    <w:rsid w:val="009966F0"/>
    <w:rsid w:val="00AF6D9E"/>
    <w:rsid w:val="00B6792F"/>
    <w:rsid w:val="00C13017"/>
    <w:rsid w:val="00C52172"/>
    <w:rsid w:val="00CC20D9"/>
    <w:rsid w:val="00D0764E"/>
    <w:rsid w:val="00D621F8"/>
    <w:rsid w:val="00DA1151"/>
    <w:rsid w:val="00EC3987"/>
    <w:rsid w:val="00EF23F6"/>
    <w:rsid w:val="00F835F5"/>
    <w:rsid w:val="00FA0AE0"/>
    <w:rsid w:val="00FA48BF"/>
    <w:rsid w:val="00FF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rsid w:val="004F7E7B"/>
    <w:pPr>
      <w:ind w:left="-116"/>
    </w:pPr>
  </w:style>
  <w:style w:type="paragraph" w:styleId="BalloonText">
    <w:name w:val="Balloon Text"/>
    <w:basedOn w:val="Normal"/>
    <w:semiHidden/>
    <w:rsid w:val="00675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rsid w:val="004F7E7B"/>
    <w:pPr>
      <w:ind w:left="-116"/>
    </w:pPr>
  </w:style>
  <w:style w:type="paragraph" w:styleId="BalloonText">
    <w:name w:val="Balloon Text"/>
    <w:basedOn w:val="Normal"/>
    <w:semiHidden/>
    <w:rsid w:val="00675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cp:lastPrinted>2003-04-01T18:24:00Z</cp:lastPrinted>
  <dcterms:created xsi:type="dcterms:W3CDTF">2012-06-21T20:45:00Z</dcterms:created>
  <dcterms:modified xsi:type="dcterms:W3CDTF">2012-06-21T20:46:00Z</dcterms:modified>
</cp:coreProperties>
</file>