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4F3" w:rsidRDefault="00D114F3" w:rsidP="00D114F3">
      <w:pPr>
        <w:widowControl w:val="0"/>
        <w:autoSpaceDE w:val="0"/>
        <w:autoSpaceDN w:val="0"/>
        <w:adjustRightInd w:val="0"/>
      </w:pPr>
      <w:bookmarkStart w:id="0" w:name="_GoBack"/>
      <w:bookmarkEnd w:id="0"/>
    </w:p>
    <w:p w:rsidR="00D114F3" w:rsidRDefault="00D114F3" w:rsidP="00D114F3">
      <w:pPr>
        <w:widowControl w:val="0"/>
        <w:autoSpaceDE w:val="0"/>
        <w:autoSpaceDN w:val="0"/>
        <w:adjustRightInd w:val="0"/>
      </w:pPr>
      <w:r>
        <w:rPr>
          <w:b/>
          <w:bCs/>
        </w:rPr>
        <w:t>Section 370.840  Aerobic Sludge Digestion</w:t>
      </w:r>
      <w:r>
        <w:t xml:space="preserve"> </w:t>
      </w:r>
    </w:p>
    <w:p w:rsidR="00D114F3" w:rsidRDefault="00D114F3" w:rsidP="00D114F3">
      <w:pPr>
        <w:widowControl w:val="0"/>
        <w:autoSpaceDE w:val="0"/>
        <w:autoSpaceDN w:val="0"/>
        <w:adjustRightInd w:val="0"/>
      </w:pPr>
    </w:p>
    <w:p w:rsidR="00D114F3" w:rsidRDefault="00D114F3" w:rsidP="00D114F3">
      <w:pPr>
        <w:widowControl w:val="0"/>
        <w:autoSpaceDE w:val="0"/>
        <w:autoSpaceDN w:val="0"/>
        <w:adjustRightInd w:val="0"/>
        <w:ind w:left="1440" w:hanging="720"/>
      </w:pPr>
      <w:r>
        <w:t>a)</w:t>
      </w:r>
      <w:r>
        <w:tab/>
        <w:t xml:space="preserve">General </w:t>
      </w:r>
    </w:p>
    <w:p w:rsidR="00D114F3" w:rsidRDefault="00D114F3" w:rsidP="00D114F3">
      <w:pPr>
        <w:widowControl w:val="0"/>
        <w:autoSpaceDE w:val="0"/>
        <w:autoSpaceDN w:val="0"/>
        <w:adjustRightInd w:val="0"/>
        <w:ind w:left="1440" w:hanging="720"/>
      </w:pPr>
      <w:r>
        <w:tab/>
        <w:t xml:space="preserve">The aerobic sludge digestion system shall include provisions for digestion, supernatant separation, sludge concentration and any necessary sludge storage.  These may be accomplished with separate tanks or processes or in digestion tanks. </w:t>
      </w:r>
    </w:p>
    <w:p w:rsidR="00BD3F93" w:rsidRDefault="00BD3F93" w:rsidP="00D114F3">
      <w:pPr>
        <w:widowControl w:val="0"/>
        <w:autoSpaceDE w:val="0"/>
        <w:autoSpaceDN w:val="0"/>
        <w:adjustRightInd w:val="0"/>
        <w:ind w:left="1440" w:hanging="720"/>
      </w:pPr>
    </w:p>
    <w:p w:rsidR="00D114F3" w:rsidRDefault="00D114F3" w:rsidP="00D114F3">
      <w:pPr>
        <w:widowControl w:val="0"/>
        <w:autoSpaceDE w:val="0"/>
        <w:autoSpaceDN w:val="0"/>
        <w:adjustRightInd w:val="0"/>
        <w:ind w:left="1440" w:hanging="720"/>
      </w:pPr>
      <w:r>
        <w:t>b)</w:t>
      </w:r>
      <w:r>
        <w:tab/>
        <w:t xml:space="preserve">Multiple Units </w:t>
      </w:r>
    </w:p>
    <w:p w:rsidR="00D114F3" w:rsidRDefault="00D114F3" w:rsidP="00D114F3">
      <w:pPr>
        <w:widowControl w:val="0"/>
        <w:autoSpaceDE w:val="0"/>
        <w:autoSpaceDN w:val="0"/>
        <w:adjustRightInd w:val="0"/>
        <w:ind w:left="1440" w:hanging="720"/>
      </w:pPr>
      <w:r>
        <w:tab/>
        <w:t xml:space="preserve">Multiple digestion units capable of independent operation are recommended for all plants and shall be provided in those plants where the design average flow exceeds 100,000 gallons per day.  Plants without multiple units shall provide alternate sludge handling and disposal methods. </w:t>
      </w:r>
    </w:p>
    <w:p w:rsidR="00BD3F93" w:rsidRDefault="00BD3F93" w:rsidP="00D114F3">
      <w:pPr>
        <w:widowControl w:val="0"/>
        <w:autoSpaceDE w:val="0"/>
        <w:autoSpaceDN w:val="0"/>
        <w:adjustRightInd w:val="0"/>
        <w:ind w:left="1440" w:hanging="720"/>
      </w:pPr>
    </w:p>
    <w:p w:rsidR="00D114F3" w:rsidRDefault="00D114F3" w:rsidP="00D114F3">
      <w:pPr>
        <w:widowControl w:val="0"/>
        <w:autoSpaceDE w:val="0"/>
        <w:autoSpaceDN w:val="0"/>
        <w:adjustRightInd w:val="0"/>
        <w:ind w:left="1440" w:hanging="720"/>
      </w:pPr>
      <w:r>
        <w:t>c)</w:t>
      </w:r>
      <w:r>
        <w:tab/>
        <w:t xml:space="preserve">Tank Capacity </w:t>
      </w:r>
    </w:p>
    <w:p w:rsidR="00BD3F93" w:rsidRDefault="00BD3F93" w:rsidP="00D114F3">
      <w:pPr>
        <w:widowControl w:val="0"/>
        <w:autoSpaceDE w:val="0"/>
        <w:autoSpaceDN w:val="0"/>
        <w:adjustRightInd w:val="0"/>
        <w:ind w:left="2160" w:hanging="720"/>
      </w:pPr>
    </w:p>
    <w:p w:rsidR="00D114F3" w:rsidRDefault="00D114F3" w:rsidP="00D114F3">
      <w:pPr>
        <w:widowControl w:val="0"/>
        <w:autoSpaceDE w:val="0"/>
        <w:autoSpaceDN w:val="0"/>
        <w:adjustRightInd w:val="0"/>
        <w:ind w:left="2160" w:hanging="720"/>
      </w:pPr>
      <w:r>
        <w:t>1)</w:t>
      </w:r>
      <w:r>
        <w:tab/>
        <w:t xml:space="preserve">The following digestion tank capacities are based on a solids concentration of 2 percent with supernatant separation performed in a separate tank.  If supernatant separation is performed in the digestion tank, a minimum of 25 percent additional volume is required.  These capacities shall be provided unless sludge thickening facilities (refer to Section 370.820) are utilized to thicken the feed solids concentration to greater than 2 percent.  If such. thickening is provided, the digestion volumes may be decreased proportionally. </w:t>
      </w:r>
    </w:p>
    <w:p w:rsidR="00D114F3" w:rsidRDefault="00D114F3" w:rsidP="00D114F3">
      <w:pPr>
        <w:widowControl w:val="0"/>
        <w:autoSpaceDE w:val="0"/>
        <w:autoSpaceDN w:val="0"/>
        <w:adjustRightInd w:val="0"/>
        <w:ind w:left="2160" w:hanging="720"/>
      </w:pPr>
    </w:p>
    <w:p w:rsidR="00D114F3" w:rsidRDefault="00D114F3" w:rsidP="00D114F3">
      <w:pPr>
        <w:widowControl w:val="0"/>
        <w:autoSpaceDE w:val="0"/>
        <w:autoSpaceDN w:val="0"/>
        <w:adjustRightInd w:val="0"/>
        <w:ind w:left="2160" w:hanging="720"/>
      </w:pPr>
    </w:p>
    <w:tbl>
      <w:tblPr>
        <w:tblW w:w="0" w:type="auto"/>
        <w:tblInd w:w="1680"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3360"/>
        <w:gridCol w:w="2880"/>
      </w:tblGrid>
      <w:tr w:rsidR="00D114F3">
        <w:tblPrEx>
          <w:tblCellMar>
            <w:top w:w="0" w:type="dxa"/>
            <w:bottom w:w="0" w:type="dxa"/>
          </w:tblCellMar>
        </w:tblPrEx>
        <w:tc>
          <w:tcPr>
            <w:tcW w:w="3360" w:type="dxa"/>
            <w:tcBorders>
              <w:top w:val="nil"/>
              <w:left w:val="nil"/>
              <w:bottom w:val="nil"/>
              <w:right w:val="nil"/>
            </w:tcBorders>
          </w:tcPr>
          <w:p w:rsidR="00D114F3" w:rsidRDefault="00D114F3" w:rsidP="00D114F3">
            <w:pPr>
              <w:widowControl w:val="0"/>
              <w:autoSpaceDE w:val="0"/>
              <w:autoSpaceDN w:val="0"/>
              <w:adjustRightInd w:val="0"/>
            </w:pPr>
            <w:r>
              <w:t xml:space="preserve"> (ft.(3)/Population</w:t>
            </w:r>
          </w:p>
        </w:tc>
        <w:tc>
          <w:tcPr>
            <w:tcW w:w="2880" w:type="dxa"/>
            <w:tcBorders>
              <w:top w:val="nil"/>
              <w:left w:val="nil"/>
              <w:bottom w:val="nil"/>
              <w:right w:val="nil"/>
            </w:tcBorders>
          </w:tcPr>
          <w:p w:rsidR="00D114F3" w:rsidRDefault="00D114F3" w:rsidP="00D114F3">
            <w:pPr>
              <w:widowControl w:val="0"/>
              <w:autoSpaceDE w:val="0"/>
              <w:autoSpaceDN w:val="0"/>
              <w:adjustRightInd w:val="0"/>
            </w:pPr>
          </w:p>
        </w:tc>
      </w:tr>
      <w:tr w:rsidR="00D114F3">
        <w:tblPrEx>
          <w:tblCellMar>
            <w:top w:w="0" w:type="dxa"/>
            <w:bottom w:w="0" w:type="dxa"/>
          </w:tblCellMar>
        </w:tblPrEx>
        <w:tc>
          <w:tcPr>
            <w:tcW w:w="3360" w:type="dxa"/>
            <w:tcBorders>
              <w:top w:val="nil"/>
              <w:left w:val="nil"/>
              <w:bottom w:val="nil"/>
              <w:right w:val="nil"/>
            </w:tcBorders>
          </w:tcPr>
          <w:p w:rsidR="00D114F3" w:rsidRDefault="00D114F3" w:rsidP="00D114F3">
            <w:pPr>
              <w:widowControl w:val="0"/>
              <w:autoSpaceDE w:val="0"/>
              <w:autoSpaceDN w:val="0"/>
              <w:adjustRightInd w:val="0"/>
            </w:pPr>
            <w:r>
              <w:t>Sludge Source</w:t>
            </w:r>
          </w:p>
        </w:tc>
        <w:tc>
          <w:tcPr>
            <w:tcW w:w="2880" w:type="dxa"/>
            <w:tcBorders>
              <w:top w:val="nil"/>
              <w:left w:val="nil"/>
              <w:bottom w:val="nil"/>
              <w:right w:val="nil"/>
            </w:tcBorders>
          </w:tcPr>
          <w:p w:rsidR="00D114F3" w:rsidRDefault="00D114F3" w:rsidP="00D114F3">
            <w:pPr>
              <w:widowControl w:val="0"/>
              <w:autoSpaceDE w:val="0"/>
              <w:autoSpaceDN w:val="0"/>
              <w:adjustRightInd w:val="0"/>
            </w:pPr>
            <w:r>
              <w:t>Equivalent (P.E.))</w:t>
            </w:r>
          </w:p>
        </w:tc>
      </w:tr>
      <w:tr w:rsidR="00D114F3">
        <w:tblPrEx>
          <w:tblCellMar>
            <w:top w:w="0" w:type="dxa"/>
            <w:bottom w:w="0" w:type="dxa"/>
          </w:tblCellMar>
        </w:tblPrEx>
        <w:tc>
          <w:tcPr>
            <w:tcW w:w="3360" w:type="dxa"/>
            <w:tcBorders>
              <w:top w:val="nil"/>
              <w:left w:val="nil"/>
              <w:bottom w:val="nil"/>
              <w:right w:val="nil"/>
            </w:tcBorders>
          </w:tcPr>
          <w:p w:rsidR="00D114F3" w:rsidRDefault="00D114F3" w:rsidP="00D114F3">
            <w:pPr>
              <w:widowControl w:val="0"/>
              <w:autoSpaceDE w:val="0"/>
              <w:autoSpaceDN w:val="0"/>
              <w:adjustRightInd w:val="0"/>
            </w:pPr>
            <w:r>
              <w:t xml:space="preserve"> </w:t>
            </w:r>
          </w:p>
        </w:tc>
        <w:tc>
          <w:tcPr>
            <w:tcW w:w="2880" w:type="dxa"/>
            <w:tcBorders>
              <w:top w:val="nil"/>
              <w:left w:val="nil"/>
              <w:bottom w:val="nil"/>
              <w:right w:val="nil"/>
            </w:tcBorders>
          </w:tcPr>
          <w:p w:rsidR="00D114F3" w:rsidRDefault="00D114F3" w:rsidP="00D114F3">
            <w:pPr>
              <w:widowControl w:val="0"/>
              <w:autoSpaceDE w:val="0"/>
              <w:autoSpaceDN w:val="0"/>
              <w:adjustRightInd w:val="0"/>
            </w:pPr>
          </w:p>
        </w:tc>
      </w:tr>
      <w:tr w:rsidR="00D114F3">
        <w:tblPrEx>
          <w:tblCellMar>
            <w:top w:w="0" w:type="dxa"/>
            <w:bottom w:w="0" w:type="dxa"/>
          </w:tblCellMar>
        </w:tblPrEx>
        <w:tc>
          <w:tcPr>
            <w:tcW w:w="3360" w:type="dxa"/>
            <w:tcBorders>
              <w:top w:val="nil"/>
              <w:left w:val="nil"/>
              <w:bottom w:val="nil"/>
              <w:right w:val="nil"/>
            </w:tcBorders>
          </w:tcPr>
          <w:p w:rsidR="00D114F3" w:rsidRDefault="00D114F3" w:rsidP="00D114F3">
            <w:pPr>
              <w:widowControl w:val="0"/>
              <w:autoSpaceDE w:val="0"/>
              <w:autoSpaceDN w:val="0"/>
              <w:adjustRightInd w:val="0"/>
            </w:pPr>
            <w:r>
              <w:t>Waste activated sludge-no primary settling</w:t>
            </w:r>
          </w:p>
        </w:tc>
        <w:tc>
          <w:tcPr>
            <w:tcW w:w="2880" w:type="dxa"/>
            <w:tcBorders>
              <w:top w:val="nil"/>
              <w:left w:val="nil"/>
              <w:bottom w:val="nil"/>
              <w:right w:val="nil"/>
            </w:tcBorders>
          </w:tcPr>
          <w:p w:rsidR="00D114F3" w:rsidRDefault="00D114F3" w:rsidP="00D114F3">
            <w:pPr>
              <w:widowControl w:val="0"/>
              <w:autoSpaceDE w:val="0"/>
              <w:autoSpaceDN w:val="0"/>
              <w:adjustRightInd w:val="0"/>
            </w:pPr>
          </w:p>
        </w:tc>
      </w:tr>
      <w:tr w:rsidR="00D114F3">
        <w:tblPrEx>
          <w:tblCellMar>
            <w:top w:w="0" w:type="dxa"/>
            <w:bottom w:w="0" w:type="dxa"/>
          </w:tblCellMar>
        </w:tblPrEx>
        <w:tc>
          <w:tcPr>
            <w:tcW w:w="3360" w:type="dxa"/>
            <w:tcBorders>
              <w:top w:val="nil"/>
              <w:left w:val="nil"/>
              <w:bottom w:val="nil"/>
              <w:right w:val="nil"/>
            </w:tcBorders>
          </w:tcPr>
          <w:p w:rsidR="00D114F3" w:rsidRDefault="00D114F3" w:rsidP="00D114F3">
            <w:pPr>
              <w:widowControl w:val="0"/>
              <w:autoSpaceDE w:val="0"/>
              <w:autoSpaceDN w:val="0"/>
              <w:adjustRightInd w:val="0"/>
            </w:pPr>
            <w:r>
              <w:t>4.5*</w:t>
            </w:r>
          </w:p>
        </w:tc>
        <w:tc>
          <w:tcPr>
            <w:tcW w:w="2880" w:type="dxa"/>
            <w:tcBorders>
              <w:top w:val="nil"/>
              <w:left w:val="nil"/>
              <w:bottom w:val="nil"/>
              <w:right w:val="nil"/>
            </w:tcBorders>
          </w:tcPr>
          <w:p w:rsidR="00D114F3" w:rsidRDefault="00D114F3" w:rsidP="00D114F3">
            <w:pPr>
              <w:widowControl w:val="0"/>
              <w:autoSpaceDE w:val="0"/>
              <w:autoSpaceDN w:val="0"/>
              <w:adjustRightInd w:val="0"/>
            </w:pPr>
          </w:p>
        </w:tc>
      </w:tr>
      <w:tr w:rsidR="00D114F3">
        <w:tblPrEx>
          <w:tblCellMar>
            <w:top w:w="0" w:type="dxa"/>
            <w:bottom w:w="0" w:type="dxa"/>
          </w:tblCellMar>
        </w:tblPrEx>
        <w:tc>
          <w:tcPr>
            <w:tcW w:w="3360" w:type="dxa"/>
            <w:tcBorders>
              <w:top w:val="nil"/>
              <w:left w:val="nil"/>
              <w:bottom w:val="nil"/>
              <w:right w:val="nil"/>
            </w:tcBorders>
          </w:tcPr>
          <w:p w:rsidR="00D114F3" w:rsidRDefault="00D114F3" w:rsidP="00D114F3">
            <w:pPr>
              <w:widowControl w:val="0"/>
              <w:autoSpaceDE w:val="0"/>
              <w:autoSpaceDN w:val="0"/>
              <w:adjustRightInd w:val="0"/>
            </w:pPr>
            <w:r>
              <w:t xml:space="preserve"> </w:t>
            </w:r>
          </w:p>
        </w:tc>
        <w:tc>
          <w:tcPr>
            <w:tcW w:w="2880" w:type="dxa"/>
            <w:tcBorders>
              <w:top w:val="nil"/>
              <w:left w:val="nil"/>
              <w:bottom w:val="nil"/>
              <w:right w:val="nil"/>
            </w:tcBorders>
          </w:tcPr>
          <w:p w:rsidR="00D114F3" w:rsidRDefault="00D114F3" w:rsidP="00D114F3">
            <w:pPr>
              <w:widowControl w:val="0"/>
              <w:autoSpaceDE w:val="0"/>
              <w:autoSpaceDN w:val="0"/>
              <w:adjustRightInd w:val="0"/>
            </w:pPr>
          </w:p>
        </w:tc>
      </w:tr>
      <w:tr w:rsidR="00D114F3">
        <w:tblPrEx>
          <w:tblCellMar>
            <w:top w:w="0" w:type="dxa"/>
            <w:bottom w:w="0" w:type="dxa"/>
          </w:tblCellMar>
        </w:tblPrEx>
        <w:tc>
          <w:tcPr>
            <w:tcW w:w="3360" w:type="dxa"/>
            <w:tcBorders>
              <w:top w:val="nil"/>
              <w:left w:val="nil"/>
              <w:bottom w:val="nil"/>
              <w:right w:val="nil"/>
            </w:tcBorders>
          </w:tcPr>
          <w:p w:rsidR="00D114F3" w:rsidRDefault="00D114F3" w:rsidP="00D114F3">
            <w:pPr>
              <w:widowControl w:val="0"/>
              <w:autoSpaceDE w:val="0"/>
              <w:autoSpaceDN w:val="0"/>
              <w:adjustRightInd w:val="0"/>
            </w:pPr>
            <w:r>
              <w:t>Primary plus waste activated sludge</w:t>
            </w:r>
          </w:p>
        </w:tc>
        <w:tc>
          <w:tcPr>
            <w:tcW w:w="2880" w:type="dxa"/>
            <w:tcBorders>
              <w:top w:val="nil"/>
              <w:left w:val="nil"/>
              <w:bottom w:val="nil"/>
              <w:right w:val="nil"/>
            </w:tcBorders>
          </w:tcPr>
          <w:p w:rsidR="00D114F3" w:rsidRDefault="00D114F3" w:rsidP="00D114F3">
            <w:pPr>
              <w:widowControl w:val="0"/>
              <w:autoSpaceDE w:val="0"/>
              <w:autoSpaceDN w:val="0"/>
              <w:adjustRightInd w:val="0"/>
            </w:pPr>
          </w:p>
        </w:tc>
      </w:tr>
      <w:tr w:rsidR="00D114F3">
        <w:tblPrEx>
          <w:tblCellMar>
            <w:top w:w="0" w:type="dxa"/>
            <w:bottom w:w="0" w:type="dxa"/>
          </w:tblCellMar>
        </w:tblPrEx>
        <w:tc>
          <w:tcPr>
            <w:tcW w:w="3360" w:type="dxa"/>
            <w:tcBorders>
              <w:top w:val="nil"/>
              <w:left w:val="nil"/>
              <w:bottom w:val="nil"/>
              <w:right w:val="nil"/>
            </w:tcBorders>
          </w:tcPr>
          <w:p w:rsidR="00D114F3" w:rsidRDefault="00D114F3" w:rsidP="00D114F3">
            <w:pPr>
              <w:widowControl w:val="0"/>
              <w:autoSpaceDE w:val="0"/>
              <w:autoSpaceDN w:val="0"/>
              <w:adjustRightInd w:val="0"/>
            </w:pPr>
            <w:r>
              <w:t xml:space="preserve"> </w:t>
            </w:r>
          </w:p>
        </w:tc>
        <w:tc>
          <w:tcPr>
            <w:tcW w:w="2880" w:type="dxa"/>
            <w:tcBorders>
              <w:top w:val="nil"/>
              <w:left w:val="nil"/>
              <w:bottom w:val="nil"/>
              <w:right w:val="nil"/>
            </w:tcBorders>
          </w:tcPr>
          <w:p w:rsidR="00D114F3" w:rsidRDefault="00D114F3" w:rsidP="00D114F3">
            <w:pPr>
              <w:widowControl w:val="0"/>
              <w:autoSpaceDE w:val="0"/>
              <w:autoSpaceDN w:val="0"/>
              <w:adjustRightInd w:val="0"/>
            </w:pPr>
            <w:r>
              <w:t>.0*</w:t>
            </w:r>
          </w:p>
        </w:tc>
      </w:tr>
      <w:tr w:rsidR="00D114F3">
        <w:tblPrEx>
          <w:tblCellMar>
            <w:top w:w="0" w:type="dxa"/>
            <w:bottom w:w="0" w:type="dxa"/>
          </w:tblCellMar>
        </w:tblPrEx>
        <w:tc>
          <w:tcPr>
            <w:tcW w:w="3360" w:type="dxa"/>
            <w:tcBorders>
              <w:top w:val="nil"/>
              <w:left w:val="nil"/>
              <w:bottom w:val="nil"/>
              <w:right w:val="nil"/>
            </w:tcBorders>
          </w:tcPr>
          <w:p w:rsidR="00D114F3" w:rsidRDefault="00D114F3" w:rsidP="00D114F3">
            <w:pPr>
              <w:widowControl w:val="0"/>
              <w:autoSpaceDE w:val="0"/>
              <w:autoSpaceDN w:val="0"/>
              <w:adjustRightInd w:val="0"/>
            </w:pPr>
            <w:r>
              <w:t xml:space="preserve"> </w:t>
            </w:r>
          </w:p>
        </w:tc>
        <w:tc>
          <w:tcPr>
            <w:tcW w:w="2880" w:type="dxa"/>
            <w:tcBorders>
              <w:top w:val="nil"/>
              <w:left w:val="nil"/>
              <w:bottom w:val="nil"/>
              <w:right w:val="nil"/>
            </w:tcBorders>
          </w:tcPr>
          <w:p w:rsidR="00D114F3" w:rsidRDefault="00D114F3" w:rsidP="00D114F3">
            <w:pPr>
              <w:widowControl w:val="0"/>
              <w:autoSpaceDE w:val="0"/>
              <w:autoSpaceDN w:val="0"/>
              <w:adjustRightInd w:val="0"/>
            </w:pPr>
          </w:p>
        </w:tc>
      </w:tr>
      <w:tr w:rsidR="00D114F3">
        <w:tblPrEx>
          <w:tblCellMar>
            <w:top w:w="0" w:type="dxa"/>
            <w:bottom w:w="0" w:type="dxa"/>
          </w:tblCellMar>
        </w:tblPrEx>
        <w:tc>
          <w:tcPr>
            <w:tcW w:w="3360" w:type="dxa"/>
            <w:tcBorders>
              <w:top w:val="nil"/>
              <w:left w:val="nil"/>
              <w:bottom w:val="nil"/>
              <w:right w:val="nil"/>
            </w:tcBorders>
          </w:tcPr>
          <w:p w:rsidR="00D114F3" w:rsidRDefault="00D114F3" w:rsidP="00D114F3">
            <w:pPr>
              <w:widowControl w:val="0"/>
              <w:autoSpaceDE w:val="0"/>
              <w:autoSpaceDN w:val="0"/>
              <w:adjustRightInd w:val="0"/>
            </w:pPr>
            <w:r>
              <w:t>Waste activated sludge exclusive of primary sludge</w:t>
            </w:r>
          </w:p>
        </w:tc>
        <w:tc>
          <w:tcPr>
            <w:tcW w:w="2880" w:type="dxa"/>
            <w:tcBorders>
              <w:top w:val="nil"/>
              <w:left w:val="nil"/>
              <w:bottom w:val="nil"/>
              <w:right w:val="nil"/>
            </w:tcBorders>
          </w:tcPr>
          <w:p w:rsidR="00D114F3" w:rsidRDefault="00D114F3" w:rsidP="00D114F3">
            <w:pPr>
              <w:widowControl w:val="0"/>
              <w:autoSpaceDE w:val="0"/>
              <w:autoSpaceDN w:val="0"/>
              <w:adjustRightInd w:val="0"/>
            </w:pPr>
          </w:p>
        </w:tc>
      </w:tr>
      <w:tr w:rsidR="00D114F3">
        <w:tblPrEx>
          <w:tblCellMar>
            <w:top w:w="0" w:type="dxa"/>
            <w:bottom w:w="0" w:type="dxa"/>
          </w:tblCellMar>
        </w:tblPrEx>
        <w:tc>
          <w:tcPr>
            <w:tcW w:w="3360" w:type="dxa"/>
            <w:tcBorders>
              <w:top w:val="nil"/>
              <w:left w:val="nil"/>
              <w:bottom w:val="nil"/>
              <w:right w:val="nil"/>
            </w:tcBorders>
          </w:tcPr>
          <w:p w:rsidR="00D114F3" w:rsidRDefault="00D114F3" w:rsidP="00D114F3">
            <w:pPr>
              <w:widowControl w:val="0"/>
              <w:autoSpaceDE w:val="0"/>
              <w:autoSpaceDN w:val="0"/>
              <w:adjustRightInd w:val="0"/>
            </w:pPr>
            <w:r>
              <w:t xml:space="preserve"> </w:t>
            </w:r>
          </w:p>
        </w:tc>
        <w:tc>
          <w:tcPr>
            <w:tcW w:w="2880" w:type="dxa"/>
            <w:tcBorders>
              <w:top w:val="nil"/>
              <w:left w:val="nil"/>
              <w:bottom w:val="nil"/>
              <w:right w:val="nil"/>
            </w:tcBorders>
          </w:tcPr>
          <w:p w:rsidR="00D114F3" w:rsidRDefault="00D114F3" w:rsidP="00D114F3">
            <w:pPr>
              <w:widowControl w:val="0"/>
              <w:autoSpaceDE w:val="0"/>
              <w:autoSpaceDN w:val="0"/>
              <w:adjustRightInd w:val="0"/>
            </w:pPr>
            <w:r>
              <w:t>.0*</w:t>
            </w:r>
          </w:p>
        </w:tc>
      </w:tr>
      <w:tr w:rsidR="00D114F3">
        <w:tblPrEx>
          <w:tblCellMar>
            <w:top w:w="0" w:type="dxa"/>
            <w:bottom w:w="0" w:type="dxa"/>
          </w:tblCellMar>
        </w:tblPrEx>
        <w:tc>
          <w:tcPr>
            <w:tcW w:w="3360" w:type="dxa"/>
            <w:tcBorders>
              <w:top w:val="nil"/>
              <w:left w:val="nil"/>
              <w:bottom w:val="nil"/>
              <w:right w:val="nil"/>
            </w:tcBorders>
          </w:tcPr>
          <w:p w:rsidR="00D114F3" w:rsidRDefault="00D114F3" w:rsidP="00D114F3">
            <w:pPr>
              <w:widowControl w:val="0"/>
              <w:autoSpaceDE w:val="0"/>
              <w:autoSpaceDN w:val="0"/>
              <w:adjustRightInd w:val="0"/>
            </w:pPr>
            <w:r>
              <w:t xml:space="preserve"> </w:t>
            </w:r>
          </w:p>
        </w:tc>
        <w:tc>
          <w:tcPr>
            <w:tcW w:w="2880" w:type="dxa"/>
            <w:tcBorders>
              <w:top w:val="nil"/>
              <w:left w:val="nil"/>
              <w:bottom w:val="nil"/>
              <w:right w:val="nil"/>
            </w:tcBorders>
          </w:tcPr>
          <w:p w:rsidR="00D114F3" w:rsidRDefault="00D114F3" w:rsidP="00D114F3">
            <w:pPr>
              <w:widowControl w:val="0"/>
              <w:autoSpaceDE w:val="0"/>
              <w:autoSpaceDN w:val="0"/>
              <w:adjustRightInd w:val="0"/>
            </w:pPr>
          </w:p>
        </w:tc>
      </w:tr>
      <w:tr w:rsidR="00D114F3">
        <w:tblPrEx>
          <w:tblCellMar>
            <w:top w:w="0" w:type="dxa"/>
            <w:bottom w:w="0" w:type="dxa"/>
          </w:tblCellMar>
        </w:tblPrEx>
        <w:tc>
          <w:tcPr>
            <w:tcW w:w="3360" w:type="dxa"/>
            <w:tcBorders>
              <w:top w:val="nil"/>
              <w:left w:val="nil"/>
              <w:bottom w:val="nil"/>
              <w:right w:val="nil"/>
            </w:tcBorders>
          </w:tcPr>
          <w:p w:rsidR="00D114F3" w:rsidRDefault="00D114F3" w:rsidP="00D114F3">
            <w:pPr>
              <w:widowControl w:val="0"/>
              <w:autoSpaceDE w:val="0"/>
              <w:autoSpaceDN w:val="0"/>
              <w:adjustRightInd w:val="0"/>
            </w:pPr>
            <w:r>
              <w:t>Extended aeration activated sludge</w:t>
            </w:r>
          </w:p>
        </w:tc>
        <w:tc>
          <w:tcPr>
            <w:tcW w:w="2880" w:type="dxa"/>
            <w:tcBorders>
              <w:top w:val="nil"/>
              <w:left w:val="nil"/>
              <w:bottom w:val="nil"/>
              <w:right w:val="nil"/>
            </w:tcBorders>
          </w:tcPr>
          <w:p w:rsidR="00D114F3" w:rsidRDefault="00D114F3" w:rsidP="00D114F3">
            <w:pPr>
              <w:widowControl w:val="0"/>
              <w:autoSpaceDE w:val="0"/>
              <w:autoSpaceDN w:val="0"/>
              <w:adjustRightInd w:val="0"/>
            </w:pPr>
          </w:p>
        </w:tc>
      </w:tr>
      <w:tr w:rsidR="00D114F3">
        <w:tblPrEx>
          <w:tblCellMar>
            <w:top w:w="0" w:type="dxa"/>
            <w:bottom w:w="0" w:type="dxa"/>
          </w:tblCellMar>
        </w:tblPrEx>
        <w:tc>
          <w:tcPr>
            <w:tcW w:w="3360" w:type="dxa"/>
            <w:tcBorders>
              <w:top w:val="nil"/>
              <w:left w:val="nil"/>
              <w:bottom w:val="nil"/>
              <w:right w:val="nil"/>
            </w:tcBorders>
          </w:tcPr>
          <w:p w:rsidR="00D114F3" w:rsidRDefault="00D114F3" w:rsidP="00D114F3">
            <w:pPr>
              <w:widowControl w:val="0"/>
              <w:autoSpaceDE w:val="0"/>
              <w:autoSpaceDN w:val="0"/>
              <w:adjustRightInd w:val="0"/>
            </w:pPr>
            <w:r>
              <w:t xml:space="preserve"> </w:t>
            </w:r>
          </w:p>
        </w:tc>
        <w:tc>
          <w:tcPr>
            <w:tcW w:w="2880" w:type="dxa"/>
            <w:tcBorders>
              <w:top w:val="nil"/>
              <w:left w:val="nil"/>
              <w:bottom w:val="nil"/>
              <w:right w:val="nil"/>
            </w:tcBorders>
          </w:tcPr>
          <w:p w:rsidR="00D114F3" w:rsidRDefault="00D114F3" w:rsidP="00D114F3">
            <w:pPr>
              <w:widowControl w:val="0"/>
              <w:autoSpaceDE w:val="0"/>
              <w:autoSpaceDN w:val="0"/>
              <w:adjustRightInd w:val="0"/>
            </w:pPr>
            <w:r>
              <w:t>.0</w:t>
            </w:r>
          </w:p>
        </w:tc>
      </w:tr>
      <w:tr w:rsidR="00D114F3">
        <w:tblPrEx>
          <w:tblCellMar>
            <w:top w:w="0" w:type="dxa"/>
            <w:bottom w:w="0" w:type="dxa"/>
          </w:tblCellMar>
        </w:tblPrEx>
        <w:tc>
          <w:tcPr>
            <w:tcW w:w="3360" w:type="dxa"/>
            <w:tcBorders>
              <w:top w:val="nil"/>
              <w:left w:val="nil"/>
              <w:bottom w:val="nil"/>
              <w:right w:val="nil"/>
            </w:tcBorders>
          </w:tcPr>
          <w:p w:rsidR="00D114F3" w:rsidRDefault="00D114F3" w:rsidP="00D114F3">
            <w:pPr>
              <w:widowControl w:val="0"/>
              <w:autoSpaceDE w:val="0"/>
              <w:autoSpaceDN w:val="0"/>
              <w:adjustRightInd w:val="0"/>
            </w:pPr>
            <w:r>
              <w:t xml:space="preserve"> </w:t>
            </w:r>
          </w:p>
        </w:tc>
        <w:tc>
          <w:tcPr>
            <w:tcW w:w="2880" w:type="dxa"/>
            <w:tcBorders>
              <w:top w:val="nil"/>
              <w:left w:val="nil"/>
              <w:bottom w:val="nil"/>
              <w:right w:val="nil"/>
            </w:tcBorders>
          </w:tcPr>
          <w:p w:rsidR="00D114F3" w:rsidRDefault="00D114F3" w:rsidP="00D114F3">
            <w:pPr>
              <w:widowControl w:val="0"/>
              <w:autoSpaceDE w:val="0"/>
              <w:autoSpaceDN w:val="0"/>
              <w:adjustRightInd w:val="0"/>
            </w:pPr>
          </w:p>
        </w:tc>
      </w:tr>
      <w:tr w:rsidR="00D114F3">
        <w:tblPrEx>
          <w:tblCellMar>
            <w:top w:w="0" w:type="dxa"/>
            <w:bottom w:w="0" w:type="dxa"/>
          </w:tblCellMar>
        </w:tblPrEx>
        <w:tc>
          <w:tcPr>
            <w:tcW w:w="3360" w:type="dxa"/>
            <w:tcBorders>
              <w:top w:val="nil"/>
              <w:left w:val="nil"/>
              <w:bottom w:val="nil"/>
              <w:right w:val="nil"/>
            </w:tcBorders>
          </w:tcPr>
          <w:p w:rsidR="00D114F3" w:rsidRDefault="00D114F3" w:rsidP="00D114F3">
            <w:pPr>
              <w:widowControl w:val="0"/>
              <w:autoSpaceDE w:val="0"/>
              <w:autoSpaceDN w:val="0"/>
              <w:adjustRightInd w:val="0"/>
            </w:pPr>
            <w:r>
              <w:t>Primary plus fixed film reactor sludges</w:t>
            </w:r>
          </w:p>
        </w:tc>
        <w:tc>
          <w:tcPr>
            <w:tcW w:w="2880" w:type="dxa"/>
            <w:tcBorders>
              <w:top w:val="nil"/>
              <w:left w:val="nil"/>
              <w:bottom w:val="nil"/>
              <w:right w:val="nil"/>
            </w:tcBorders>
          </w:tcPr>
          <w:p w:rsidR="00D114F3" w:rsidRDefault="00D114F3" w:rsidP="00D114F3">
            <w:pPr>
              <w:widowControl w:val="0"/>
              <w:autoSpaceDE w:val="0"/>
              <w:autoSpaceDN w:val="0"/>
              <w:adjustRightInd w:val="0"/>
            </w:pPr>
          </w:p>
        </w:tc>
      </w:tr>
      <w:tr w:rsidR="00D114F3">
        <w:tblPrEx>
          <w:tblCellMar>
            <w:top w:w="0" w:type="dxa"/>
            <w:bottom w:w="0" w:type="dxa"/>
          </w:tblCellMar>
        </w:tblPrEx>
        <w:tc>
          <w:tcPr>
            <w:tcW w:w="3360" w:type="dxa"/>
            <w:tcBorders>
              <w:top w:val="nil"/>
              <w:left w:val="nil"/>
              <w:bottom w:val="nil"/>
              <w:right w:val="nil"/>
            </w:tcBorders>
          </w:tcPr>
          <w:p w:rsidR="00D114F3" w:rsidRDefault="00D114F3" w:rsidP="00D114F3">
            <w:pPr>
              <w:widowControl w:val="0"/>
              <w:autoSpaceDE w:val="0"/>
              <w:autoSpaceDN w:val="0"/>
              <w:adjustRightInd w:val="0"/>
            </w:pPr>
            <w:r>
              <w:t xml:space="preserve"> </w:t>
            </w:r>
          </w:p>
        </w:tc>
        <w:tc>
          <w:tcPr>
            <w:tcW w:w="2880" w:type="dxa"/>
            <w:tcBorders>
              <w:top w:val="nil"/>
              <w:left w:val="nil"/>
              <w:bottom w:val="nil"/>
              <w:right w:val="nil"/>
            </w:tcBorders>
          </w:tcPr>
          <w:p w:rsidR="00D114F3" w:rsidRDefault="00D114F3" w:rsidP="00D114F3">
            <w:pPr>
              <w:widowControl w:val="0"/>
              <w:autoSpaceDE w:val="0"/>
              <w:autoSpaceDN w:val="0"/>
              <w:adjustRightInd w:val="0"/>
            </w:pPr>
            <w:r>
              <w:t>.0</w:t>
            </w:r>
          </w:p>
        </w:tc>
      </w:tr>
    </w:tbl>
    <w:p w:rsidR="00D114F3" w:rsidRDefault="00D114F3" w:rsidP="00D114F3">
      <w:pPr>
        <w:widowControl w:val="0"/>
        <w:autoSpaceDE w:val="0"/>
        <w:autoSpaceDN w:val="0"/>
        <w:adjustRightInd w:val="0"/>
        <w:ind w:left="2160" w:hanging="720"/>
      </w:pPr>
      <w:r>
        <w:t xml:space="preserve"> </w:t>
      </w:r>
    </w:p>
    <w:p w:rsidR="00D114F3" w:rsidRDefault="00D114F3" w:rsidP="00D114F3">
      <w:pPr>
        <w:widowControl w:val="0"/>
        <w:autoSpaceDE w:val="0"/>
        <w:autoSpaceDN w:val="0"/>
        <w:adjustRightInd w:val="0"/>
        <w:ind w:left="1440" w:hanging="720"/>
      </w:pPr>
      <w:r>
        <w:tab/>
        <w:t xml:space="preserve">*These volumes apply to waste activated sludge from single stage nitrification facilities with less than 24 hours detention time based on design average flow. </w:t>
      </w:r>
    </w:p>
    <w:p w:rsidR="00BD3F93" w:rsidRDefault="00BD3F93" w:rsidP="00D114F3">
      <w:pPr>
        <w:widowControl w:val="0"/>
        <w:autoSpaceDE w:val="0"/>
        <w:autoSpaceDN w:val="0"/>
        <w:adjustRightInd w:val="0"/>
        <w:ind w:left="2160" w:hanging="720"/>
      </w:pPr>
    </w:p>
    <w:p w:rsidR="00D114F3" w:rsidRDefault="00D114F3" w:rsidP="00D114F3">
      <w:pPr>
        <w:widowControl w:val="0"/>
        <w:autoSpaceDE w:val="0"/>
        <w:autoSpaceDN w:val="0"/>
        <w:adjustRightInd w:val="0"/>
        <w:ind w:left="2160" w:hanging="720"/>
      </w:pPr>
      <w:r>
        <w:t>2)</w:t>
      </w:r>
      <w:r>
        <w:tab/>
        <w:t xml:space="preserve">These volumes are based on digester temperatures of 59~ F (15~  C) and a solids retention time of 27 days.  Aerobic digesters shall be covered to minimize heat loss or these volumes shall be increased for colder temperature applications.  Refer to subsection (g) below for necessary sludge storage.  Additional volume may be required if the land application disposal method is used in order to meet applicable Federal regulations. </w:t>
      </w:r>
    </w:p>
    <w:p w:rsidR="00BD3F93" w:rsidRDefault="00BD3F93" w:rsidP="00D114F3">
      <w:pPr>
        <w:widowControl w:val="0"/>
        <w:autoSpaceDE w:val="0"/>
        <w:autoSpaceDN w:val="0"/>
        <w:adjustRightInd w:val="0"/>
        <w:ind w:left="1440" w:hanging="720"/>
      </w:pPr>
    </w:p>
    <w:p w:rsidR="00D114F3" w:rsidRDefault="00D114F3" w:rsidP="00D114F3">
      <w:pPr>
        <w:widowControl w:val="0"/>
        <w:autoSpaceDE w:val="0"/>
        <w:autoSpaceDN w:val="0"/>
        <w:adjustRightInd w:val="0"/>
        <w:ind w:left="1440" w:hanging="720"/>
      </w:pPr>
      <w:r>
        <w:t>d)</w:t>
      </w:r>
      <w:r>
        <w:tab/>
        <w:t xml:space="preserve">Mixing </w:t>
      </w:r>
    </w:p>
    <w:p w:rsidR="00D114F3" w:rsidRDefault="00D114F3" w:rsidP="00D114F3">
      <w:pPr>
        <w:widowControl w:val="0"/>
        <w:autoSpaceDE w:val="0"/>
        <w:autoSpaceDN w:val="0"/>
        <w:adjustRightInd w:val="0"/>
        <w:ind w:left="1440" w:hanging="720"/>
      </w:pPr>
      <w:r>
        <w:tab/>
        <w:t xml:space="preserve">Aerobic digesters shall be equipped with devices which can maintain solids in suspension and which provide complete mixing of the digester contents. </w:t>
      </w:r>
    </w:p>
    <w:p w:rsidR="00BD3F93" w:rsidRDefault="00BD3F93" w:rsidP="00D114F3">
      <w:pPr>
        <w:widowControl w:val="0"/>
        <w:autoSpaceDE w:val="0"/>
        <w:autoSpaceDN w:val="0"/>
        <w:adjustRightInd w:val="0"/>
        <w:ind w:left="1440" w:hanging="720"/>
      </w:pPr>
    </w:p>
    <w:p w:rsidR="00D114F3" w:rsidRDefault="00D114F3" w:rsidP="00D114F3">
      <w:pPr>
        <w:widowControl w:val="0"/>
        <w:autoSpaceDE w:val="0"/>
        <w:autoSpaceDN w:val="0"/>
        <w:adjustRightInd w:val="0"/>
        <w:ind w:left="1440" w:hanging="720"/>
      </w:pPr>
      <w:r>
        <w:t>e)</w:t>
      </w:r>
      <w:r>
        <w:tab/>
        <w:t xml:space="preserve">Air Requirements </w:t>
      </w:r>
    </w:p>
    <w:p w:rsidR="00D114F3" w:rsidRDefault="00D114F3" w:rsidP="00D114F3">
      <w:pPr>
        <w:widowControl w:val="0"/>
        <w:autoSpaceDE w:val="0"/>
        <w:autoSpaceDN w:val="0"/>
        <w:adjustRightInd w:val="0"/>
        <w:ind w:left="1440" w:hanging="720"/>
      </w:pPr>
      <w:r>
        <w:tab/>
        <w:t xml:space="preserve">Sufficient air shall be provided to keep the solids in suspension and maintain dissolved oxygen between 1 and 2 milligrams per liter (mg/l).  For minimum mixing and oxygen requirements, an air supply  of 30 cfm per 1000 cubic feet of tank volume shall be provided with the largest blower out of service.  If diffusers are used, the nonclog type is recommended, and they should be designed to permit continuity of service.  If mechanical turbine aerators are utilized, at least two turbine aerators per tank shall be provided to permit continuity of service. Mechanical aerators are not acceptable for use in aerobic digesters due to freezing conditions experienced throughout Illinois. </w:t>
      </w:r>
    </w:p>
    <w:p w:rsidR="00BD3F93" w:rsidRDefault="00BD3F93" w:rsidP="00D114F3">
      <w:pPr>
        <w:widowControl w:val="0"/>
        <w:autoSpaceDE w:val="0"/>
        <w:autoSpaceDN w:val="0"/>
        <w:adjustRightInd w:val="0"/>
        <w:ind w:left="1440" w:hanging="720"/>
      </w:pPr>
    </w:p>
    <w:p w:rsidR="00D114F3" w:rsidRDefault="00D114F3" w:rsidP="00D114F3">
      <w:pPr>
        <w:widowControl w:val="0"/>
        <w:autoSpaceDE w:val="0"/>
        <w:autoSpaceDN w:val="0"/>
        <w:adjustRightInd w:val="0"/>
        <w:ind w:left="1440" w:hanging="720"/>
      </w:pPr>
      <w:r>
        <w:t>f)</w:t>
      </w:r>
      <w:r>
        <w:tab/>
        <w:t xml:space="preserve">Supernatant Separation and Scum and Grease Removal </w:t>
      </w:r>
    </w:p>
    <w:p w:rsidR="00BD3F93" w:rsidRDefault="00BD3F93" w:rsidP="00D114F3">
      <w:pPr>
        <w:widowControl w:val="0"/>
        <w:autoSpaceDE w:val="0"/>
        <w:autoSpaceDN w:val="0"/>
        <w:adjustRightInd w:val="0"/>
        <w:ind w:left="2160" w:hanging="720"/>
      </w:pPr>
    </w:p>
    <w:p w:rsidR="00D114F3" w:rsidRDefault="00D114F3" w:rsidP="00D114F3">
      <w:pPr>
        <w:widowControl w:val="0"/>
        <w:autoSpaceDE w:val="0"/>
        <w:autoSpaceDN w:val="0"/>
        <w:adjustRightInd w:val="0"/>
        <w:ind w:left="2160" w:hanging="720"/>
      </w:pPr>
      <w:r>
        <w:t>1)</w:t>
      </w:r>
      <w:r>
        <w:tab/>
        <w:t xml:space="preserve">Supernatant Separation </w:t>
      </w:r>
    </w:p>
    <w:p w:rsidR="00D114F3" w:rsidRDefault="00D114F3" w:rsidP="00D114F3">
      <w:pPr>
        <w:widowControl w:val="0"/>
        <w:autoSpaceDE w:val="0"/>
        <w:autoSpaceDN w:val="0"/>
        <w:adjustRightInd w:val="0"/>
        <w:ind w:left="2160" w:hanging="720"/>
      </w:pPr>
      <w:r>
        <w:tab/>
        <w:t xml:space="preserve">Facilities shall be provided for effective separation or decanting of supernatant.  Separate facilities are recommended; however, supernatant separation may be accomplished in the digestion tank if additional volume is provided, in accordance with subsection (c) above.  The supernatant drawoff unit shall be designed to prevent the recycle of scum and grease back to plant process units.  Provision should be made to withdraw supernatant from multiple levels of the supernatant withdrawl zone. </w:t>
      </w:r>
    </w:p>
    <w:p w:rsidR="00BD3F93" w:rsidRDefault="00BD3F93" w:rsidP="00D114F3">
      <w:pPr>
        <w:widowControl w:val="0"/>
        <w:autoSpaceDE w:val="0"/>
        <w:autoSpaceDN w:val="0"/>
        <w:adjustRightInd w:val="0"/>
        <w:ind w:left="2160" w:hanging="720"/>
      </w:pPr>
    </w:p>
    <w:p w:rsidR="00D114F3" w:rsidRDefault="00D114F3" w:rsidP="00D114F3">
      <w:pPr>
        <w:widowControl w:val="0"/>
        <w:autoSpaceDE w:val="0"/>
        <w:autoSpaceDN w:val="0"/>
        <w:adjustRightInd w:val="0"/>
        <w:ind w:left="2160" w:hanging="720"/>
      </w:pPr>
      <w:r>
        <w:t>2)</w:t>
      </w:r>
      <w:r>
        <w:tab/>
        <w:t xml:space="preserve">Scum and Grease Removal </w:t>
      </w:r>
    </w:p>
    <w:p w:rsidR="00D114F3" w:rsidRDefault="00D114F3" w:rsidP="00D114F3">
      <w:pPr>
        <w:widowControl w:val="0"/>
        <w:autoSpaceDE w:val="0"/>
        <w:autoSpaceDN w:val="0"/>
        <w:adjustRightInd w:val="0"/>
        <w:ind w:left="2160" w:hanging="720"/>
      </w:pPr>
      <w:r>
        <w:tab/>
        <w:t xml:space="preserve">Facilities shall be provided for the effective collection of scum and grease for final disposal and to prevent recycle back to plant process units and prevent long term accumulation and potential for discharge of scum and grease in the effluent. </w:t>
      </w:r>
    </w:p>
    <w:p w:rsidR="00BD3F93" w:rsidRDefault="00BD3F93" w:rsidP="00D114F3">
      <w:pPr>
        <w:widowControl w:val="0"/>
        <w:autoSpaceDE w:val="0"/>
        <w:autoSpaceDN w:val="0"/>
        <w:adjustRightInd w:val="0"/>
        <w:ind w:left="1440" w:hanging="720"/>
      </w:pPr>
    </w:p>
    <w:p w:rsidR="00D114F3" w:rsidRDefault="00D114F3" w:rsidP="00D114F3">
      <w:pPr>
        <w:widowControl w:val="0"/>
        <w:autoSpaceDE w:val="0"/>
        <w:autoSpaceDN w:val="0"/>
        <w:adjustRightInd w:val="0"/>
        <w:ind w:left="1440" w:hanging="720"/>
      </w:pPr>
      <w:r>
        <w:t>g)</w:t>
      </w:r>
      <w:r>
        <w:tab/>
        <w:t xml:space="preserve">High Level Emergency Overflow </w:t>
      </w:r>
    </w:p>
    <w:p w:rsidR="00D114F3" w:rsidRDefault="00D114F3" w:rsidP="00D114F3">
      <w:pPr>
        <w:widowControl w:val="0"/>
        <w:autoSpaceDE w:val="0"/>
        <w:autoSpaceDN w:val="0"/>
        <w:adjustRightInd w:val="0"/>
        <w:ind w:left="1440" w:hanging="720"/>
      </w:pPr>
      <w:r>
        <w:tab/>
        <w:t xml:space="preserve">An unvalved high level overflow and any necessary piping shall be provided to return digester overflow back to the head of the plant or to the aeration process in case of accidental overfilling.  The design of the overflow shall take into account the length of time and rate at which sludge is wasted during periods when the treatment plant is unattended, potential effects of overflow on plant process units, location of the discharge from the emergency overflow, and the potential for discharge of suspended solids in the plant effluent. </w:t>
      </w:r>
    </w:p>
    <w:p w:rsidR="00BD3F93" w:rsidRDefault="00BD3F93" w:rsidP="00D114F3">
      <w:pPr>
        <w:widowControl w:val="0"/>
        <w:autoSpaceDE w:val="0"/>
        <w:autoSpaceDN w:val="0"/>
        <w:adjustRightInd w:val="0"/>
        <w:ind w:left="1440" w:hanging="720"/>
      </w:pPr>
    </w:p>
    <w:p w:rsidR="00D114F3" w:rsidRDefault="00D114F3" w:rsidP="00D114F3">
      <w:pPr>
        <w:widowControl w:val="0"/>
        <w:autoSpaceDE w:val="0"/>
        <w:autoSpaceDN w:val="0"/>
        <w:adjustRightInd w:val="0"/>
        <w:ind w:left="1440" w:hanging="720"/>
      </w:pPr>
      <w:r>
        <w:t>h)</w:t>
      </w:r>
      <w:r>
        <w:tab/>
        <w:t xml:space="preserve">Digested Sludge Storage Volume </w:t>
      </w:r>
    </w:p>
    <w:p w:rsidR="00BD3F93" w:rsidRDefault="00BD3F93" w:rsidP="00D114F3">
      <w:pPr>
        <w:widowControl w:val="0"/>
        <w:autoSpaceDE w:val="0"/>
        <w:autoSpaceDN w:val="0"/>
        <w:adjustRightInd w:val="0"/>
        <w:ind w:left="2160" w:hanging="720"/>
      </w:pPr>
    </w:p>
    <w:p w:rsidR="00D114F3" w:rsidRDefault="00D114F3" w:rsidP="00D114F3">
      <w:pPr>
        <w:widowControl w:val="0"/>
        <w:autoSpaceDE w:val="0"/>
        <w:autoSpaceDN w:val="0"/>
        <w:adjustRightInd w:val="0"/>
        <w:ind w:left="2160" w:hanging="720"/>
      </w:pPr>
      <w:r>
        <w:t>1)</w:t>
      </w:r>
      <w:r>
        <w:tab/>
        <w:t xml:space="preserve">Sludge storage must be provided in accordance with Section 370.870 to accommodate daily sludge production volumes and as an operational buffer for unit outage and adverse weather conditions.  Designs utilizing increased sludge age in the activated sludge system as a means of storage are not acceptable. </w:t>
      </w:r>
    </w:p>
    <w:p w:rsidR="00BD3F93" w:rsidRDefault="00BD3F93" w:rsidP="00D114F3">
      <w:pPr>
        <w:widowControl w:val="0"/>
        <w:autoSpaceDE w:val="0"/>
        <w:autoSpaceDN w:val="0"/>
        <w:adjustRightInd w:val="0"/>
        <w:ind w:left="2160" w:hanging="720"/>
      </w:pPr>
    </w:p>
    <w:p w:rsidR="00D114F3" w:rsidRDefault="00D114F3" w:rsidP="00D114F3">
      <w:pPr>
        <w:widowControl w:val="0"/>
        <w:autoSpaceDE w:val="0"/>
        <w:autoSpaceDN w:val="0"/>
        <w:adjustRightInd w:val="0"/>
        <w:ind w:left="2160" w:hanging="720"/>
      </w:pPr>
      <w:r>
        <w:t>2)</w:t>
      </w:r>
      <w:r>
        <w:tab/>
        <w:t xml:space="preserve">Liquid sludge storage capacity shall be based on the following values unless digested sludge thickening facilities are utilized (refer to Section 370.173) to provide solids concentrations to greater than 2 percent. </w:t>
      </w:r>
    </w:p>
    <w:p w:rsidR="00D114F3" w:rsidRDefault="00D114F3" w:rsidP="00D114F3">
      <w:pPr>
        <w:widowControl w:val="0"/>
        <w:autoSpaceDE w:val="0"/>
        <w:autoSpaceDN w:val="0"/>
        <w:adjustRightInd w:val="0"/>
        <w:ind w:left="2160" w:hanging="720"/>
      </w:pPr>
    </w:p>
    <w:p w:rsidR="00D114F3" w:rsidRDefault="00D114F3" w:rsidP="00D114F3">
      <w:pPr>
        <w:widowControl w:val="0"/>
        <w:autoSpaceDE w:val="0"/>
        <w:autoSpaceDN w:val="0"/>
        <w:adjustRightInd w:val="0"/>
        <w:ind w:left="2160" w:hanging="720"/>
      </w:pPr>
    </w:p>
    <w:tbl>
      <w:tblPr>
        <w:tblW w:w="0" w:type="auto"/>
        <w:tblInd w:w="1680" w:type="dxa"/>
        <w:tblBorders>
          <w:top w:val="dashed" w:sz="32" w:space="9" w:color="auto"/>
          <w:left w:val="single" w:sz="12" w:space="4" w:color="auto"/>
          <w:bottom w:val="dashed" w:sz="24" w:space="0" w:color="auto"/>
          <w:right w:val="dashed" w:sz="44" w:space="0" w:color="auto"/>
        </w:tblBorders>
        <w:tblLayout w:type="fixed"/>
        <w:tblCellMar>
          <w:left w:w="480" w:type="dxa"/>
          <w:right w:w="480" w:type="dxa"/>
        </w:tblCellMar>
        <w:tblLook w:val="0000" w:firstRow="0" w:lastRow="0" w:firstColumn="0" w:lastColumn="0" w:noHBand="0" w:noVBand="0"/>
      </w:tblPr>
      <w:tblGrid>
        <w:gridCol w:w="3360"/>
        <w:gridCol w:w="2760"/>
      </w:tblGrid>
      <w:tr w:rsidR="00D114F3">
        <w:tblPrEx>
          <w:tblCellMar>
            <w:top w:w="0" w:type="dxa"/>
            <w:bottom w:w="0" w:type="dxa"/>
          </w:tblCellMar>
        </w:tblPrEx>
        <w:tc>
          <w:tcPr>
            <w:tcW w:w="3360" w:type="dxa"/>
            <w:tcBorders>
              <w:top w:val="nil"/>
              <w:left w:val="nil"/>
              <w:bottom w:val="nil"/>
              <w:right w:val="nil"/>
            </w:tcBorders>
          </w:tcPr>
          <w:p w:rsidR="00D114F3" w:rsidRDefault="00D114F3" w:rsidP="00D114F3">
            <w:pPr>
              <w:widowControl w:val="0"/>
              <w:autoSpaceDE w:val="0"/>
              <w:autoSpaceDN w:val="0"/>
              <w:adjustRightInd w:val="0"/>
            </w:pPr>
            <w:r>
              <w:t>Sludge Source</w:t>
            </w:r>
          </w:p>
        </w:tc>
        <w:tc>
          <w:tcPr>
            <w:tcW w:w="2760" w:type="dxa"/>
            <w:tcBorders>
              <w:top w:val="nil"/>
              <w:left w:val="nil"/>
              <w:bottom w:val="nil"/>
              <w:right w:val="nil"/>
            </w:tcBorders>
          </w:tcPr>
          <w:p w:rsidR="00D114F3" w:rsidRDefault="00D114F3" w:rsidP="00D114F3">
            <w:pPr>
              <w:widowControl w:val="0"/>
              <w:autoSpaceDE w:val="0"/>
              <w:autoSpaceDN w:val="0"/>
              <w:adjustRightInd w:val="0"/>
            </w:pPr>
            <w:r>
              <w:t>Volume (ft.(3)/P.E./day)</w:t>
            </w:r>
          </w:p>
        </w:tc>
      </w:tr>
    </w:tbl>
    <w:p w:rsidR="00D114F3" w:rsidRDefault="00D114F3" w:rsidP="00D114F3">
      <w:pPr>
        <w:widowControl w:val="0"/>
        <w:autoSpaceDE w:val="0"/>
        <w:autoSpaceDN w:val="0"/>
        <w:adjustRightInd w:val="0"/>
        <w:ind w:left="2160" w:hanging="720"/>
      </w:pPr>
    </w:p>
    <w:p w:rsidR="00D114F3" w:rsidRDefault="00D114F3" w:rsidP="00D114F3">
      <w:pPr>
        <w:widowControl w:val="0"/>
        <w:autoSpaceDE w:val="0"/>
        <w:autoSpaceDN w:val="0"/>
        <w:adjustRightInd w:val="0"/>
        <w:ind w:left="1440" w:hanging="720"/>
      </w:pPr>
      <w:r>
        <w:t xml:space="preserve">(Source:  Amended at 21 Ill. Reg. 12444, effective August 28, 1997) </w:t>
      </w:r>
    </w:p>
    <w:sectPr w:rsidR="00D114F3" w:rsidSect="00D114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14F3"/>
    <w:rsid w:val="005C3366"/>
    <w:rsid w:val="00BD3F93"/>
    <w:rsid w:val="00D114F3"/>
    <w:rsid w:val="00D14F14"/>
    <w:rsid w:val="00EB1D43"/>
    <w:rsid w:val="00F21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