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3FD" w:rsidRDefault="00EB13FD" w:rsidP="00EB13FD">
      <w:pPr>
        <w:widowControl w:val="0"/>
        <w:autoSpaceDE w:val="0"/>
        <w:autoSpaceDN w:val="0"/>
        <w:adjustRightInd w:val="0"/>
      </w:pPr>
      <w:bookmarkStart w:id="0" w:name="_GoBack"/>
      <w:bookmarkEnd w:id="0"/>
    </w:p>
    <w:p w:rsidR="00EB13FD" w:rsidRDefault="00EB13FD" w:rsidP="00EB13FD">
      <w:pPr>
        <w:widowControl w:val="0"/>
        <w:autoSpaceDE w:val="0"/>
        <w:autoSpaceDN w:val="0"/>
        <w:adjustRightInd w:val="0"/>
      </w:pPr>
      <w:r>
        <w:rPr>
          <w:b/>
          <w:bCs/>
        </w:rPr>
        <w:t>Section 368.140  Funding Allocations</w:t>
      </w:r>
      <w:r>
        <w:t xml:space="preserve"> </w:t>
      </w:r>
    </w:p>
    <w:p w:rsidR="00EB13FD" w:rsidRDefault="00EB13FD" w:rsidP="00EB13FD">
      <w:pPr>
        <w:widowControl w:val="0"/>
        <w:autoSpaceDE w:val="0"/>
        <w:autoSpaceDN w:val="0"/>
        <w:adjustRightInd w:val="0"/>
      </w:pPr>
    </w:p>
    <w:p w:rsidR="00EB13FD" w:rsidRDefault="00EB13FD" w:rsidP="00EB13FD">
      <w:pPr>
        <w:widowControl w:val="0"/>
        <w:autoSpaceDE w:val="0"/>
        <w:autoSpaceDN w:val="0"/>
        <w:adjustRightInd w:val="0"/>
      </w:pPr>
      <w:r>
        <w:t xml:space="preserve">Funds for the Illinois Clean Lakes Program are targeted to be distributed to lake owners in each fiscal year from 1996 to 2001 by the Agency according to the following percentage amounts: </w:t>
      </w:r>
    </w:p>
    <w:p w:rsidR="00324D5E" w:rsidRDefault="00324D5E" w:rsidP="00EB13FD">
      <w:pPr>
        <w:widowControl w:val="0"/>
        <w:autoSpaceDE w:val="0"/>
        <w:autoSpaceDN w:val="0"/>
        <w:adjustRightInd w:val="0"/>
      </w:pPr>
    </w:p>
    <w:p w:rsidR="00EB13FD" w:rsidRDefault="00EB13FD" w:rsidP="00EB13FD">
      <w:pPr>
        <w:widowControl w:val="0"/>
        <w:autoSpaceDE w:val="0"/>
        <w:autoSpaceDN w:val="0"/>
        <w:adjustRightInd w:val="0"/>
        <w:ind w:left="1440" w:hanging="720"/>
      </w:pPr>
      <w:r>
        <w:t>a)</w:t>
      </w:r>
      <w:r>
        <w:tab/>
        <w:t xml:space="preserve">Phase I projects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1)</w:t>
      </w:r>
      <w:r>
        <w:tab/>
        <w:t>FY96</w:t>
      </w:r>
      <w:r w:rsidR="00EA2DBD">
        <w:t xml:space="preserve"> – </w:t>
      </w:r>
      <w:r>
        <w:t xml:space="preserve">60%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2)</w:t>
      </w:r>
      <w:r>
        <w:tab/>
        <w:t>FY97</w:t>
      </w:r>
      <w:r w:rsidR="00EA2DBD">
        <w:t xml:space="preserve"> – </w:t>
      </w:r>
      <w:r>
        <w:t xml:space="preserve">45%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3)</w:t>
      </w:r>
      <w:r>
        <w:tab/>
        <w:t>FY98</w:t>
      </w:r>
      <w:r w:rsidR="00EA2DBD">
        <w:t xml:space="preserve"> – </w:t>
      </w:r>
      <w:r>
        <w:t xml:space="preserve">40%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4)</w:t>
      </w:r>
      <w:r>
        <w:tab/>
        <w:t>FY99</w:t>
      </w:r>
      <w:r w:rsidR="00EA2DBD">
        <w:t xml:space="preserve"> – </w:t>
      </w:r>
      <w:r>
        <w:t xml:space="preserve">35%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5)</w:t>
      </w:r>
      <w:r>
        <w:tab/>
        <w:t>FY00</w:t>
      </w:r>
      <w:r w:rsidR="00EA2DBD">
        <w:t xml:space="preserve"> – </w:t>
      </w:r>
      <w:r>
        <w:t xml:space="preserve">30%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6)</w:t>
      </w:r>
      <w:r>
        <w:tab/>
        <w:t>FY01</w:t>
      </w:r>
      <w:r w:rsidR="00EA2DBD">
        <w:t xml:space="preserve"> – </w:t>
      </w:r>
      <w:r>
        <w:t xml:space="preserve">25% </w:t>
      </w:r>
    </w:p>
    <w:p w:rsidR="00324D5E" w:rsidRDefault="00324D5E" w:rsidP="00EB13FD">
      <w:pPr>
        <w:widowControl w:val="0"/>
        <w:autoSpaceDE w:val="0"/>
        <w:autoSpaceDN w:val="0"/>
        <w:adjustRightInd w:val="0"/>
        <w:ind w:left="1440" w:hanging="720"/>
      </w:pPr>
    </w:p>
    <w:p w:rsidR="00EB13FD" w:rsidRDefault="00EB13FD" w:rsidP="00EB13FD">
      <w:pPr>
        <w:widowControl w:val="0"/>
        <w:autoSpaceDE w:val="0"/>
        <w:autoSpaceDN w:val="0"/>
        <w:adjustRightInd w:val="0"/>
        <w:ind w:left="1440" w:hanging="720"/>
      </w:pPr>
      <w:r>
        <w:t>b)</w:t>
      </w:r>
      <w:r>
        <w:tab/>
        <w:t xml:space="preserve">Phase II projects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1)</w:t>
      </w:r>
      <w:r>
        <w:tab/>
        <w:t>FY96</w:t>
      </w:r>
      <w:r w:rsidR="00EA2DBD">
        <w:t xml:space="preserve"> – </w:t>
      </w:r>
      <w:r>
        <w:t xml:space="preserve">35%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2)</w:t>
      </w:r>
      <w:r>
        <w:tab/>
        <w:t>FY97</w:t>
      </w:r>
      <w:r w:rsidR="00EA2DBD">
        <w:t xml:space="preserve"> – </w:t>
      </w:r>
      <w:r>
        <w:t xml:space="preserve">50%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3)</w:t>
      </w:r>
      <w:r>
        <w:tab/>
        <w:t>FY98</w:t>
      </w:r>
      <w:r w:rsidR="00EA2DBD">
        <w:t xml:space="preserve"> – </w:t>
      </w:r>
      <w:r>
        <w:t xml:space="preserve">55%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4)</w:t>
      </w:r>
      <w:r>
        <w:tab/>
        <w:t>FY99</w:t>
      </w:r>
      <w:r w:rsidR="00EA2DBD">
        <w:t xml:space="preserve"> – </w:t>
      </w:r>
      <w:r>
        <w:t xml:space="preserve">60%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5)</w:t>
      </w:r>
      <w:r>
        <w:tab/>
        <w:t>FY00</w:t>
      </w:r>
      <w:r w:rsidR="00EA2DBD">
        <w:t xml:space="preserve"> – </w:t>
      </w:r>
      <w:r>
        <w:t xml:space="preserve">65% </w:t>
      </w:r>
    </w:p>
    <w:p w:rsidR="00324D5E" w:rsidRDefault="00324D5E" w:rsidP="00EB13FD">
      <w:pPr>
        <w:widowControl w:val="0"/>
        <w:autoSpaceDE w:val="0"/>
        <w:autoSpaceDN w:val="0"/>
        <w:adjustRightInd w:val="0"/>
        <w:ind w:left="2160" w:hanging="720"/>
      </w:pPr>
    </w:p>
    <w:p w:rsidR="00EB13FD" w:rsidRDefault="00EB13FD" w:rsidP="00EB13FD">
      <w:pPr>
        <w:widowControl w:val="0"/>
        <w:autoSpaceDE w:val="0"/>
        <w:autoSpaceDN w:val="0"/>
        <w:adjustRightInd w:val="0"/>
        <w:ind w:left="2160" w:hanging="720"/>
      </w:pPr>
      <w:r>
        <w:t>6)</w:t>
      </w:r>
      <w:r>
        <w:tab/>
        <w:t>FY01</w:t>
      </w:r>
      <w:r w:rsidR="00EA2DBD">
        <w:t xml:space="preserve"> – </w:t>
      </w:r>
      <w:r>
        <w:t xml:space="preserve">70% </w:t>
      </w:r>
    </w:p>
    <w:p w:rsidR="00324D5E" w:rsidRDefault="00324D5E" w:rsidP="00EB13FD">
      <w:pPr>
        <w:widowControl w:val="0"/>
        <w:autoSpaceDE w:val="0"/>
        <w:autoSpaceDN w:val="0"/>
        <w:adjustRightInd w:val="0"/>
        <w:ind w:left="1440" w:hanging="720"/>
      </w:pPr>
    </w:p>
    <w:p w:rsidR="00EB13FD" w:rsidRDefault="00EB13FD" w:rsidP="00EB13FD">
      <w:pPr>
        <w:widowControl w:val="0"/>
        <w:autoSpaceDE w:val="0"/>
        <w:autoSpaceDN w:val="0"/>
        <w:adjustRightInd w:val="0"/>
        <w:ind w:left="1440" w:hanging="720"/>
      </w:pPr>
      <w:r>
        <w:t>c)</w:t>
      </w:r>
      <w:r>
        <w:tab/>
        <w:t xml:space="preserve">LQMP projects </w:t>
      </w:r>
    </w:p>
    <w:p w:rsidR="00324D5E" w:rsidRDefault="00324D5E" w:rsidP="00EB13FD">
      <w:pPr>
        <w:widowControl w:val="0"/>
        <w:autoSpaceDE w:val="0"/>
        <w:autoSpaceDN w:val="0"/>
        <w:adjustRightInd w:val="0"/>
        <w:ind w:left="1440" w:hanging="720"/>
      </w:pPr>
    </w:p>
    <w:p w:rsidR="00EB13FD" w:rsidRDefault="00EB13FD" w:rsidP="00EB13FD">
      <w:pPr>
        <w:widowControl w:val="0"/>
        <w:autoSpaceDE w:val="0"/>
        <w:autoSpaceDN w:val="0"/>
        <w:adjustRightInd w:val="0"/>
        <w:ind w:left="1440" w:hanging="720"/>
      </w:pPr>
      <w:r>
        <w:tab/>
        <w:t xml:space="preserve">Five percent of available funds are targeted to be distributed by the Agency to LQMP projects in each year from FY96 through FY01. </w:t>
      </w:r>
    </w:p>
    <w:sectPr w:rsidR="00EB13FD" w:rsidSect="00EB13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13FD"/>
    <w:rsid w:val="00141315"/>
    <w:rsid w:val="00324D5E"/>
    <w:rsid w:val="005C3366"/>
    <w:rsid w:val="008F0BE6"/>
    <w:rsid w:val="00997C7D"/>
    <w:rsid w:val="00EA2DBD"/>
    <w:rsid w:val="00EB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