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37" w:rsidRDefault="00166937" w:rsidP="00166937">
      <w:pPr>
        <w:widowControl w:val="0"/>
        <w:autoSpaceDE w:val="0"/>
        <w:autoSpaceDN w:val="0"/>
        <w:adjustRightInd w:val="0"/>
      </w:pPr>
      <w:bookmarkStart w:id="0" w:name="_GoBack"/>
      <w:bookmarkEnd w:id="0"/>
    </w:p>
    <w:p w:rsidR="00166937" w:rsidRDefault="00166937" w:rsidP="00166937">
      <w:pPr>
        <w:widowControl w:val="0"/>
        <w:autoSpaceDE w:val="0"/>
        <w:autoSpaceDN w:val="0"/>
        <w:adjustRightInd w:val="0"/>
      </w:pPr>
      <w:r>
        <w:rPr>
          <w:b/>
          <w:bCs/>
        </w:rPr>
        <w:t>Section 366.504  D3 Factor (Flooding Frequency)</w:t>
      </w:r>
      <w:r>
        <w:t xml:space="preserve"> </w:t>
      </w:r>
    </w:p>
    <w:p w:rsidR="00166937" w:rsidRDefault="00166937" w:rsidP="00166937">
      <w:pPr>
        <w:widowControl w:val="0"/>
        <w:autoSpaceDE w:val="0"/>
        <w:autoSpaceDN w:val="0"/>
        <w:adjustRightInd w:val="0"/>
      </w:pPr>
    </w:p>
    <w:p w:rsidR="00166937" w:rsidRDefault="00166937" w:rsidP="00166937">
      <w:pPr>
        <w:widowControl w:val="0"/>
        <w:autoSpaceDE w:val="0"/>
        <w:autoSpaceDN w:val="0"/>
        <w:adjustRightInd w:val="0"/>
      </w:pPr>
      <w:r>
        <w:t xml:space="preserve">D3 is a factor that considers the frequency of street or area flooding caused by inadequate combined sewer transport capacity.  The factor will be based on the annual frequency of flooding events as follows: </w:t>
      </w:r>
    </w:p>
    <w:p w:rsidR="00166937" w:rsidRDefault="00166937" w:rsidP="00166937">
      <w:pPr>
        <w:widowControl w:val="0"/>
        <w:autoSpaceDE w:val="0"/>
        <w:autoSpaceDN w:val="0"/>
        <w:adjustRightInd w:val="0"/>
      </w:pPr>
    </w:p>
    <w:tbl>
      <w:tblPr>
        <w:tblW w:w="0" w:type="auto"/>
        <w:tblInd w:w="906" w:type="dxa"/>
        <w:tblLook w:val="0000" w:firstRow="0" w:lastRow="0" w:firstColumn="0" w:lastColumn="0" w:noHBand="0" w:noVBand="0"/>
      </w:tblPr>
      <w:tblGrid>
        <w:gridCol w:w="2489"/>
        <w:gridCol w:w="352"/>
        <w:gridCol w:w="1491"/>
      </w:tblGrid>
      <w:tr w:rsidR="009338AA">
        <w:tblPrEx>
          <w:tblCellMar>
            <w:top w:w="0" w:type="dxa"/>
            <w:bottom w:w="0" w:type="dxa"/>
          </w:tblCellMar>
        </w:tblPrEx>
        <w:tc>
          <w:tcPr>
            <w:tcW w:w="2489" w:type="dxa"/>
          </w:tcPr>
          <w:p w:rsidR="009338AA" w:rsidRDefault="009338AA" w:rsidP="00431768">
            <w:pPr>
              <w:widowControl w:val="0"/>
              <w:autoSpaceDE w:val="0"/>
              <w:autoSpaceDN w:val="0"/>
              <w:adjustRightInd w:val="0"/>
            </w:pPr>
            <w:r>
              <w:t>0 times per year</w:t>
            </w:r>
          </w:p>
        </w:tc>
        <w:tc>
          <w:tcPr>
            <w:tcW w:w="352" w:type="dxa"/>
          </w:tcPr>
          <w:p w:rsidR="009338AA" w:rsidRDefault="009338AA" w:rsidP="00431768">
            <w:pPr>
              <w:widowControl w:val="0"/>
              <w:autoSpaceDE w:val="0"/>
              <w:autoSpaceDN w:val="0"/>
              <w:adjustRightInd w:val="0"/>
            </w:pPr>
            <w:r>
              <w:t>=</w:t>
            </w:r>
          </w:p>
        </w:tc>
        <w:tc>
          <w:tcPr>
            <w:tcW w:w="1491" w:type="dxa"/>
          </w:tcPr>
          <w:p w:rsidR="009338AA" w:rsidRDefault="009338AA" w:rsidP="00431768">
            <w:pPr>
              <w:widowControl w:val="0"/>
              <w:autoSpaceDE w:val="0"/>
              <w:autoSpaceDN w:val="0"/>
              <w:adjustRightInd w:val="0"/>
            </w:pPr>
            <w:r>
              <w:t>1.00</w:t>
            </w:r>
          </w:p>
        </w:tc>
      </w:tr>
      <w:tr w:rsidR="009338AA">
        <w:tblPrEx>
          <w:tblCellMar>
            <w:top w:w="0" w:type="dxa"/>
            <w:bottom w:w="0" w:type="dxa"/>
          </w:tblCellMar>
        </w:tblPrEx>
        <w:tc>
          <w:tcPr>
            <w:tcW w:w="2489" w:type="dxa"/>
          </w:tcPr>
          <w:p w:rsidR="009338AA" w:rsidRDefault="009338AA" w:rsidP="00431768">
            <w:pPr>
              <w:widowControl w:val="0"/>
              <w:autoSpaceDE w:val="0"/>
              <w:autoSpaceDN w:val="0"/>
              <w:adjustRightInd w:val="0"/>
            </w:pPr>
            <w:r>
              <w:t>1-5 times per year</w:t>
            </w:r>
          </w:p>
        </w:tc>
        <w:tc>
          <w:tcPr>
            <w:tcW w:w="352" w:type="dxa"/>
          </w:tcPr>
          <w:p w:rsidR="009338AA" w:rsidRDefault="009338AA" w:rsidP="00431768">
            <w:pPr>
              <w:widowControl w:val="0"/>
              <w:autoSpaceDE w:val="0"/>
              <w:autoSpaceDN w:val="0"/>
              <w:adjustRightInd w:val="0"/>
            </w:pPr>
            <w:r>
              <w:t>=</w:t>
            </w:r>
          </w:p>
        </w:tc>
        <w:tc>
          <w:tcPr>
            <w:tcW w:w="1491" w:type="dxa"/>
          </w:tcPr>
          <w:p w:rsidR="009338AA" w:rsidRDefault="009338AA" w:rsidP="00431768">
            <w:pPr>
              <w:widowControl w:val="0"/>
              <w:autoSpaceDE w:val="0"/>
              <w:autoSpaceDN w:val="0"/>
              <w:adjustRightInd w:val="0"/>
            </w:pPr>
            <w:r>
              <w:t>1.01</w:t>
            </w:r>
          </w:p>
        </w:tc>
      </w:tr>
      <w:tr w:rsidR="009338AA">
        <w:tblPrEx>
          <w:tblCellMar>
            <w:top w:w="0" w:type="dxa"/>
            <w:bottom w:w="0" w:type="dxa"/>
          </w:tblCellMar>
        </w:tblPrEx>
        <w:tc>
          <w:tcPr>
            <w:tcW w:w="2489" w:type="dxa"/>
          </w:tcPr>
          <w:p w:rsidR="009338AA" w:rsidRDefault="009338AA" w:rsidP="00431768">
            <w:pPr>
              <w:widowControl w:val="0"/>
              <w:autoSpaceDE w:val="0"/>
              <w:autoSpaceDN w:val="0"/>
              <w:adjustRightInd w:val="0"/>
            </w:pPr>
            <w:r>
              <w:t>6-10 times per year</w:t>
            </w:r>
          </w:p>
        </w:tc>
        <w:tc>
          <w:tcPr>
            <w:tcW w:w="352" w:type="dxa"/>
          </w:tcPr>
          <w:p w:rsidR="009338AA" w:rsidRDefault="009338AA" w:rsidP="00431768">
            <w:pPr>
              <w:widowControl w:val="0"/>
              <w:autoSpaceDE w:val="0"/>
              <w:autoSpaceDN w:val="0"/>
              <w:adjustRightInd w:val="0"/>
            </w:pPr>
            <w:r>
              <w:t>=</w:t>
            </w:r>
          </w:p>
        </w:tc>
        <w:tc>
          <w:tcPr>
            <w:tcW w:w="1491" w:type="dxa"/>
          </w:tcPr>
          <w:p w:rsidR="009338AA" w:rsidRDefault="009338AA" w:rsidP="00431768">
            <w:pPr>
              <w:widowControl w:val="0"/>
              <w:autoSpaceDE w:val="0"/>
              <w:autoSpaceDN w:val="0"/>
              <w:adjustRightInd w:val="0"/>
            </w:pPr>
            <w:r>
              <w:t>1.02</w:t>
            </w:r>
          </w:p>
        </w:tc>
      </w:tr>
      <w:tr w:rsidR="009338AA">
        <w:tblPrEx>
          <w:tblCellMar>
            <w:top w:w="0" w:type="dxa"/>
            <w:bottom w:w="0" w:type="dxa"/>
          </w:tblCellMar>
        </w:tblPrEx>
        <w:tc>
          <w:tcPr>
            <w:tcW w:w="2489" w:type="dxa"/>
          </w:tcPr>
          <w:p w:rsidR="009338AA" w:rsidRDefault="009338AA" w:rsidP="00431768">
            <w:pPr>
              <w:widowControl w:val="0"/>
              <w:autoSpaceDE w:val="0"/>
              <w:autoSpaceDN w:val="0"/>
              <w:adjustRightInd w:val="0"/>
            </w:pPr>
            <w:r>
              <w:t xml:space="preserve">11-15 times per year </w:t>
            </w:r>
          </w:p>
        </w:tc>
        <w:tc>
          <w:tcPr>
            <w:tcW w:w="352" w:type="dxa"/>
          </w:tcPr>
          <w:p w:rsidR="009338AA" w:rsidRDefault="009338AA" w:rsidP="00431768">
            <w:pPr>
              <w:widowControl w:val="0"/>
              <w:autoSpaceDE w:val="0"/>
              <w:autoSpaceDN w:val="0"/>
              <w:adjustRightInd w:val="0"/>
            </w:pPr>
            <w:r>
              <w:t>=</w:t>
            </w:r>
          </w:p>
        </w:tc>
        <w:tc>
          <w:tcPr>
            <w:tcW w:w="1491" w:type="dxa"/>
          </w:tcPr>
          <w:p w:rsidR="009338AA" w:rsidRDefault="009338AA" w:rsidP="00431768">
            <w:pPr>
              <w:widowControl w:val="0"/>
              <w:autoSpaceDE w:val="0"/>
              <w:autoSpaceDN w:val="0"/>
              <w:adjustRightInd w:val="0"/>
            </w:pPr>
            <w:r>
              <w:t>1.03</w:t>
            </w:r>
          </w:p>
        </w:tc>
      </w:tr>
      <w:tr w:rsidR="009338AA">
        <w:tblPrEx>
          <w:tblCellMar>
            <w:top w:w="0" w:type="dxa"/>
            <w:bottom w:w="0" w:type="dxa"/>
          </w:tblCellMar>
        </w:tblPrEx>
        <w:tc>
          <w:tcPr>
            <w:tcW w:w="2489" w:type="dxa"/>
          </w:tcPr>
          <w:p w:rsidR="009338AA" w:rsidRDefault="009338AA" w:rsidP="00431768">
            <w:pPr>
              <w:widowControl w:val="0"/>
              <w:autoSpaceDE w:val="0"/>
              <w:autoSpaceDN w:val="0"/>
              <w:adjustRightInd w:val="0"/>
            </w:pPr>
            <w:r>
              <w:t xml:space="preserve">16-20 times per year </w:t>
            </w:r>
          </w:p>
        </w:tc>
        <w:tc>
          <w:tcPr>
            <w:tcW w:w="352" w:type="dxa"/>
          </w:tcPr>
          <w:p w:rsidR="009338AA" w:rsidRDefault="009338AA" w:rsidP="00431768">
            <w:pPr>
              <w:widowControl w:val="0"/>
              <w:autoSpaceDE w:val="0"/>
              <w:autoSpaceDN w:val="0"/>
              <w:adjustRightInd w:val="0"/>
            </w:pPr>
            <w:r>
              <w:t>=</w:t>
            </w:r>
          </w:p>
        </w:tc>
        <w:tc>
          <w:tcPr>
            <w:tcW w:w="1491" w:type="dxa"/>
          </w:tcPr>
          <w:p w:rsidR="009338AA" w:rsidRDefault="009338AA" w:rsidP="00431768">
            <w:pPr>
              <w:widowControl w:val="0"/>
              <w:autoSpaceDE w:val="0"/>
              <w:autoSpaceDN w:val="0"/>
              <w:adjustRightInd w:val="0"/>
            </w:pPr>
            <w:r>
              <w:t>1.04</w:t>
            </w:r>
          </w:p>
        </w:tc>
      </w:tr>
      <w:tr w:rsidR="009338AA">
        <w:tblPrEx>
          <w:tblCellMar>
            <w:top w:w="0" w:type="dxa"/>
            <w:bottom w:w="0" w:type="dxa"/>
          </w:tblCellMar>
        </w:tblPrEx>
        <w:tc>
          <w:tcPr>
            <w:tcW w:w="2489" w:type="dxa"/>
          </w:tcPr>
          <w:p w:rsidR="009338AA" w:rsidRDefault="009338AA" w:rsidP="00431768">
            <w:pPr>
              <w:widowControl w:val="0"/>
              <w:autoSpaceDE w:val="0"/>
              <w:autoSpaceDN w:val="0"/>
              <w:adjustRightInd w:val="0"/>
            </w:pPr>
            <w:r>
              <w:t xml:space="preserve">&gt; 20 times per year </w:t>
            </w:r>
          </w:p>
        </w:tc>
        <w:tc>
          <w:tcPr>
            <w:tcW w:w="352" w:type="dxa"/>
          </w:tcPr>
          <w:p w:rsidR="009338AA" w:rsidRDefault="00454457" w:rsidP="00431768">
            <w:pPr>
              <w:widowControl w:val="0"/>
              <w:autoSpaceDE w:val="0"/>
              <w:autoSpaceDN w:val="0"/>
              <w:adjustRightInd w:val="0"/>
            </w:pPr>
            <w:r>
              <w:t>=</w:t>
            </w:r>
          </w:p>
        </w:tc>
        <w:tc>
          <w:tcPr>
            <w:tcW w:w="1491" w:type="dxa"/>
          </w:tcPr>
          <w:p w:rsidR="009338AA" w:rsidRDefault="009338AA" w:rsidP="00431768">
            <w:pPr>
              <w:widowControl w:val="0"/>
              <w:autoSpaceDE w:val="0"/>
              <w:autoSpaceDN w:val="0"/>
              <w:adjustRightInd w:val="0"/>
            </w:pPr>
            <w:r>
              <w:t>1.05</w:t>
            </w:r>
          </w:p>
        </w:tc>
      </w:tr>
    </w:tbl>
    <w:p w:rsidR="009338AA" w:rsidRDefault="009338AA" w:rsidP="00166937">
      <w:pPr>
        <w:widowControl w:val="0"/>
        <w:autoSpaceDE w:val="0"/>
        <w:autoSpaceDN w:val="0"/>
        <w:adjustRightInd w:val="0"/>
      </w:pPr>
    </w:p>
    <w:sectPr w:rsidR="009338AA" w:rsidSect="001669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937"/>
    <w:rsid w:val="00166937"/>
    <w:rsid w:val="001C07D8"/>
    <w:rsid w:val="001D3633"/>
    <w:rsid w:val="00431768"/>
    <w:rsid w:val="00454457"/>
    <w:rsid w:val="005C3366"/>
    <w:rsid w:val="006B58EC"/>
    <w:rsid w:val="0093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338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338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cp:lastPrinted>2003-01-06T22:47:00Z</cp:lastPrinted>
  <dcterms:created xsi:type="dcterms:W3CDTF">2012-06-21T20:38:00Z</dcterms:created>
  <dcterms:modified xsi:type="dcterms:W3CDTF">2012-06-21T20:38:00Z</dcterms:modified>
</cp:coreProperties>
</file>